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85676D" w14:textId="77777777" w:rsidR="00C944BC" w:rsidRDefault="00C944BC" w:rsidP="00C944BC">
      <w:pPr>
        <w:spacing w:before="100" w:beforeAutospacing="1" w:after="100" w:afterAutospacing="1"/>
        <w:rPr>
          <w:rFonts w:ascii="Helvetica" w:hAnsi="Helvetica" w:cs="Times New Roman"/>
          <w:color w:val="000000"/>
          <w:kern w:val="0"/>
          <w:sz w:val="18"/>
          <w:szCs w:val="18"/>
          <w14:ligatures w14:val="none"/>
        </w:rPr>
      </w:pPr>
      <w:r w:rsidRPr="00C944BC">
        <w:rPr>
          <w:rFonts w:ascii="Helvetica" w:hAnsi="Helvetica" w:cs="Times New Roman"/>
          <w:color w:val="000000"/>
          <w:kern w:val="0"/>
          <w:sz w:val="18"/>
          <w:szCs w:val="18"/>
          <w14:ligatures w14:val="none"/>
        </w:rPr>
        <w:drawing>
          <wp:inline distT="0" distB="0" distL="0" distR="0" wp14:anchorId="6AD1CE2E" wp14:editId="3EC6D61B">
            <wp:extent cx="5943600" cy="456565"/>
            <wp:effectExtent l="0" t="0" r="0" b="635"/>
            <wp:docPr id="1650959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959858" name=""/>
                    <pic:cNvPicPr/>
                  </pic:nvPicPr>
                  <pic:blipFill>
                    <a:blip r:embed="rId5"/>
                    <a:stretch>
                      <a:fillRect/>
                    </a:stretch>
                  </pic:blipFill>
                  <pic:spPr>
                    <a:xfrm>
                      <a:off x="0" y="0"/>
                      <a:ext cx="5943600" cy="456565"/>
                    </a:xfrm>
                    <a:prstGeom prst="rect">
                      <a:avLst/>
                    </a:prstGeom>
                  </pic:spPr>
                </pic:pic>
              </a:graphicData>
            </a:graphic>
          </wp:inline>
        </w:drawing>
      </w:r>
    </w:p>
    <w:p w14:paraId="5CBDA376" w14:textId="6D10A48B"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color w:val="000000"/>
          <w:kern w:val="0"/>
          <w:sz w:val="18"/>
          <w:szCs w:val="18"/>
          <w14:ligatures w14:val="none"/>
        </w:rPr>
        <w:t>Attn: Large Load Integration / Client Services</w:t>
      </w:r>
    </w:p>
    <w:p w14:paraId="7234BCEE" w14:textId="77777777"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color w:val="000000"/>
          <w:kern w:val="0"/>
          <w:sz w:val="18"/>
          <w:szCs w:val="18"/>
          <w14:ligatures w14:val="none"/>
        </w:rPr>
        <w:t>Re: Request for Review of Large-Load / Data-Center Classification — 6801 River Place Boulevard, Austin, Texas</w:t>
      </w:r>
    </w:p>
    <w:p w14:paraId="6C40F935" w14:textId="77777777"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color w:val="000000"/>
          <w:kern w:val="0"/>
          <w:sz w:val="18"/>
          <w:szCs w:val="18"/>
          <w14:ligatures w14:val="none"/>
        </w:rPr>
        <w:t>Dear ERCOT:</w:t>
      </w:r>
    </w:p>
    <w:p w14:paraId="13A5651C" w14:textId="77777777"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color w:val="000000"/>
          <w:kern w:val="0"/>
          <w:sz w:val="18"/>
          <w:szCs w:val="18"/>
          <w14:ligatures w14:val="none"/>
        </w:rPr>
        <w:t>I am writing to request information and appropriate review concerning the redevelopment of the former 3M campus at 6801 River Place Boulevard in Austin, Texas.</w:t>
      </w:r>
    </w:p>
    <w:p w14:paraId="4B24AA94" w14:textId="77777777"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color w:val="000000"/>
          <w:kern w:val="0"/>
          <w:sz w:val="18"/>
          <w:szCs w:val="18"/>
          <w14:ligatures w14:val="none"/>
        </w:rPr>
        <w:t xml:space="preserve">The project is associated with SE Cosmos, LLC and SB Energy, and </w:t>
      </w:r>
      <w:proofErr w:type="spellStart"/>
      <w:r w:rsidRPr="00C944BC">
        <w:rPr>
          <w:rFonts w:ascii="Helvetica" w:hAnsi="Helvetica" w:cs="Times New Roman"/>
          <w:color w:val="000000"/>
          <w:kern w:val="0"/>
          <w:sz w:val="18"/>
          <w:szCs w:val="18"/>
          <w14:ligatures w14:val="none"/>
        </w:rPr>
        <w:t>Graphcore</w:t>
      </w:r>
      <w:proofErr w:type="spellEnd"/>
      <w:r w:rsidRPr="00C944BC">
        <w:rPr>
          <w:rFonts w:ascii="Helvetica" w:hAnsi="Helvetica" w:cs="Times New Roman"/>
          <w:color w:val="000000"/>
          <w:kern w:val="0"/>
          <w:sz w:val="18"/>
          <w:szCs w:val="18"/>
          <w14:ligatures w14:val="none"/>
        </w:rPr>
        <w:t xml:space="preserve"> has been publicly identified as the tenant.</w:t>
      </w:r>
    </w:p>
    <w:p w14:paraId="58B0CD93" w14:textId="77777777"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color w:val="000000"/>
          <w:kern w:val="0"/>
          <w:sz w:val="18"/>
          <w:szCs w:val="18"/>
          <w14:ligatures w14:val="none"/>
        </w:rPr>
        <w:t>The project has been publicly described to the surrounding community as an R&amp;D center. However, financial and construction records contain descriptions suggesting that the project may include substantial data-center or high-performance-computing operations.</w:t>
      </w:r>
    </w:p>
    <w:p w14:paraId="11CB6A21" w14:textId="77777777"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color w:val="000000"/>
          <w:kern w:val="0"/>
          <w:sz w:val="18"/>
          <w:szCs w:val="18"/>
          <w14:ligatures w14:val="none"/>
        </w:rPr>
        <w:t>We are not alleging that the project has been improperly connected to the electric system or that any party has violated ERCOT requirements. We are asking whether the project's actual electric load and intended use have been accurately identified and appropriately reviewed under ERCOT's applicable large-load procedures.</w:t>
      </w:r>
    </w:p>
    <w:p w14:paraId="43B332C7" w14:textId="77777777"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color w:val="000000"/>
          <w:kern w:val="0"/>
          <w:sz w:val="18"/>
          <w:szCs w:val="18"/>
          <w14:ligatures w14:val="none"/>
        </w:rPr>
        <w:t>There are several reasons for this request.</w:t>
      </w:r>
    </w:p>
    <w:p w14:paraId="4CAFDE60" w14:textId="77777777"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color w:val="000000"/>
          <w:kern w:val="0"/>
          <w:sz w:val="18"/>
          <w:szCs w:val="18"/>
          <w14:ligatures w14:val="none"/>
        </w:rPr>
        <w:t xml:space="preserve">First, an indenture filed with the U.S. Securities and Exchange Commission by SE Cosmos, LLC repeatedly refers to the financed facility as a "Data Center Campus," refers to a "Data Center Lease," and defines the project as the "data center project located in the </w:t>
      </w:r>
      <w:proofErr w:type="gramStart"/>
      <w:r w:rsidRPr="00C944BC">
        <w:rPr>
          <w:rFonts w:ascii="Helvetica" w:hAnsi="Helvetica" w:cs="Times New Roman"/>
          <w:color w:val="000000"/>
          <w:kern w:val="0"/>
          <w:sz w:val="18"/>
          <w:szCs w:val="18"/>
          <w14:ligatures w14:val="none"/>
        </w:rPr>
        <w:t>Buildings</w:t>
      </w:r>
      <w:proofErr w:type="gramEnd"/>
      <w:r w:rsidRPr="00C944BC">
        <w:rPr>
          <w:rFonts w:ascii="Helvetica" w:hAnsi="Helvetica" w:cs="Times New Roman"/>
          <w:color w:val="000000"/>
          <w:kern w:val="0"/>
          <w:sz w:val="18"/>
          <w:szCs w:val="18"/>
          <w14:ligatures w14:val="none"/>
        </w:rPr>
        <w:t>."[1]</w:t>
      </w:r>
    </w:p>
    <w:p w14:paraId="11F2D9CD" w14:textId="77777777"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color w:val="000000"/>
          <w:kern w:val="0"/>
          <w:sz w:val="18"/>
          <w:szCs w:val="18"/>
          <w14:ligatures w14:val="none"/>
        </w:rPr>
        <w:t>The same financing document defines a "Qualified Operator" in part by reference to operational control over at least 50 MW of data centers in the United States.[1]</w:t>
      </w:r>
    </w:p>
    <w:p w14:paraId="2C9A478B" w14:textId="77777777"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color w:val="000000"/>
          <w:kern w:val="0"/>
          <w:sz w:val="18"/>
          <w:szCs w:val="18"/>
          <w14:ligatures w14:val="none"/>
        </w:rPr>
        <w:t>Second, Fitch Ratings described the SE Cosmos project in May 2026 as a newly constructed data center with approximately 50 MW of critical IT load.[2]</w:t>
      </w:r>
    </w:p>
    <w:p w14:paraId="35B77092" w14:textId="77777777"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color w:val="000000"/>
          <w:kern w:val="0"/>
          <w:sz w:val="18"/>
          <w:szCs w:val="18"/>
          <w14:ligatures w14:val="none"/>
        </w:rPr>
        <w:t>Third, the Texas Department of Licensing and Regulation identifies the "Cosmos" project at 6801 River Place Boulevard as a 234,000-square-foot renovation with an estimated construction cost of $610 million and substantial modifications to mechanical, electrical, plumbing and IT systems.[3]</w:t>
      </w:r>
    </w:p>
    <w:p w14:paraId="5966590B" w14:textId="77777777"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color w:val="000000"/>
          <w:kern w:val="0"/>
          <w:sz w:val="18"/>
          <w:szCs w:val="18"/>
          <w14:ligatures w14:val="none"/>
        </w:rPr>
        <w:t xml:space="preserve">We believe these records do not establish the project's ultimate electrical demand or prove that it is subject to any </w:t>
      </w:r>
      <w:proofErr w:type="gramStart"/>
      <w:r w:rsidRPr="00C944BC">
        <w:rPr>
          <w:rFonts w:ascii="Helvetica" w:hAnsi="Helvetica" w:cs="Times New Roman"/>
          <w:color w:val="000000"/>
          <w:kern w:val="0"/>
          <w:sz w:val="18"/>
          <w:szCs w:val="18"/>
          <w14:ligatures w14:val="none"/>
        </w:rPr>
        <w:t>particular ERCOT</w:t>
      </w:r>
      <w:proofErr w:type="gramEnd"/>
      <w:r w:rsidRPr="00C944BC">
        <w:rPr>
          <w:rFonts w:ascii="Helvetica" w:hAnsi="Helvetica" w:cs="Times New Roman"/>
          <w:color w:val="000000"/>
          <w:kern w:val="0"/>
          <w:sz w:val="18"/>
          <w:szCs w:val="18"/>
          <w14:ligatures w14:val="none"/>
        </w:rPr>
        <w:t xml:space="preserve"> requirement. They do, however, raise a reasonable question about the scale and character of the electric load being developed at this location.</w:t>
      </w:r>
    </w:p>
    <w:p w14:paraId="4672EA31" w14:textId="77777777"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color w:val="000000"/>
          <w:kern w:val="0"/>
          <w:sz w:val="18"/>
          <w:szCs w:val="18"/>
          <w14:ligatures w14:val="none"/>
        </w:rPr>
        <w:t>We understand that ERCOT's "Batch Zero" large-load interconnection process, approved by the Public Utility Commission of Texas on June 18, 2026, applies specifically to loads of 75 MW or greater at a single site.[4] At approximately 50 MW of reported critical IT load, this project would not appear to meet that threshold on its own.</w:t>
      </w:r>
    </w:p>
    <w:p w14:paraId="418F228E" w14:textId="77777777"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color w:val="000000"/>
          <w:kern w:val="0"/>
          <w:sz w:val="18"/>
          <w:szCs w:val="18"/>
          <w14:ligatures w14:val="none"/>
        </w:rPr>
        <w:t>However, we also understand that ERCOT and the Public Utility Commission of Texas, at the direction of Governor Greg Abbott, established a separate "</w:t>
      </w:r>
      <w:r w:rsidRPr="00C944BC">
        <w:rPr>
          <w:rFonts w:ascii="Helvetica" w:hAnsi="Helvetica" w:cs="Times New Roman"/>
          <w:b/>
          <w:bCs/>
          <w:color w:val="000000"/>
          <w:kern w:val="0"/>
          <w:sz w:val="18"/>
          <w:szCs w:val="18"/>
          <w14:ligatures w14:val="none"/>
        </w:rPr>
        <w:t>Community Impact Audit" </w:t>
      </w:r>
      <w:r w:rsidRPr="00C944BC">
        <w:rPr>
          <w:rFonts w:ascii="Helvetica" w:hAnsi="Helvetica" w:cs="Times New Roman"/>
          <w:color w:val="000000"/>
          <w:kern w:val="0"/>
          <w:sz w:val="18"/>
          <w:szCs w:val="18"/>
          <w14:ligatures w14:val="none"/>
        </w:rPr>
        <w:t>track applicable to unenergized computational loads of at least 25 MW but less than 75 MW — a category that includes data centers, cryptocurrency-mining facilities, and AI/HPC installations. This track collects information on power supply, water use, cooling systems, public incentives, and ownership.[5] A project reporting approximately 50 MW of critical IT load would fall within this 25–75 MW band.</w:t>
      </w:r>
    </w:p>
    <w:p w14:paraId="2B2D89BD" w14:textId="77777777"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proofErr w:type="gramStart"/>
      <w:r w:rsidRPr="00C944BC">
        <w:rPr>
          <w:rFonts w:ascii="Helvetica" w:hAnsi="Helvetica" w:cs="Times New Roman"/>
          <w:color w:val="000000"/>
          <w:kern w:val="0"/>
          <w:sz w:val="18"/>
          <w:szCs w:val="18"/>
          <w14:ligatures w14:val="none"/>
        </w:rPr>
        <w:lastRenderedPageBreak/>
        <w:t>In light of</w:t>
      </w:r>
      <w:proofErr w:type="gramEnd"/>
      <w:r w:rsidRPr="00C944BC">
        <w:rPr>
          <w:rFonts w:ascii="Helvetica" w:hAnsi="Helvetica" w:cs="Times New Roman"/>
          <w:color w:val="000000"/>
          <w:kern w:val="0"/>
          <w:sz w:val="18"/>
          <w:szCs w:val="18"/>
          <w14:ligatures w14:val="none"/>
        </w:rPr>
        <w:t xml:space="preserve"> these facts, we respectfully request that ERCOT determine, to the extent permitted by law and confidentiality requirements:</w:t>
      </w:r>
    </w:p>
    <w:p w14:paraId="0D09DD92" w14:textId="77777777" w:rsidR="00C944BC" w:rsidRPr="00C944BC" w:rsidRDefault="00C944BC" w:rsidP="00C944BC">
      <w:pPr>
        <w:numPr>
          <w:ilvl w:val="0"/>
          <w:numId w:val="1"/>
        </w:num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b/>
          <w:bCs/>
          <w:color w:val="000000"/>
          <w:kern w:val="0"/>
          <w:sz w:val="18"/>
          <w:szCs w:val="18"/>
          <w14:ligatures w14:val="none"/>
        </w:rPr>
        <w:t>Whether the facility at 6801 River Place Boulevard has been identified to ERCOT as a Large Load, data center, high-performance-computing facility, Medium Computational Load, or similar category.</w:t>
      </w:r>
    </w:p>
    <w:p w14:paraId="4E85EF92" w14:textId="77777777" w:rsidR="00C944BC" w:rsidRPr="00C944BC" w:rsidRDefault="00C944BC" w:rsidP="00C944BC">
      <w:pPr>
        <w:numPr>
          <w:ilvl w:val="0"/>
          <w:numId w:val="1"/>
        </w:num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b/>
          <w:bCs/>
          <w:color w:val="000000"/>
          <w:kern w:val="0"/>
          <w:sz w:val="18"/>
          <w:szCs w:val="18"/>
          <w14:ligatures w14:val="none"/>
        </w:rPr>
        <w:t xml:space="preserve">Whether SE Cosmos, LLC, SB Energy, </w:t>
      </w:r>
      <w:proofErr w:type="spellStart"/>
      <w:r w:rsidRPr="00C944BC">
        <w:rPr>
          <w:rFonts w:ascii="Helvetica" w:hAnsi="Helvetica" w:cs="Times New Roman"/>
          <w:b/>
          <w:bCs/>
          <w:color w:val="000000"/>
          <w:kern w:val="0"/>
          <w:sz w:val="18"/>
          <w:szCs w:val="18"/>
          <w14:ligatures w14:val="none"/>
        </w:rPr>
        <w:t>Graphcore</w:t>
      </w:r>
      <w:proofErr w:type="spellEnd"/>
      <w:r w:rsidRPr="00C944BC">
        <w:rPr>
          <w:rFonts w:ascii="Helvetica" w:hAnsi="Helvetica" w:cs="Times New Roman"/>
          <w:b/>
          <w:bCs/>
          <w:color w:val="000000"/>
          <w:kern w:val="0"/>
          <w:sz w:val="18"/>
          <w:szCs w:val="18"/>
          <w14:ligatures w14:val="none"/>
        </w:rPr>
        <w:t>, the serving transmission or distribution utility, or another entity has submitted a large-load interconnection request, study request, attestation, community-impact filing, or related submission associated with this location.</w:t>
      </w:r>
    </w:p>
    <w:p w14:paraId="0344A376" w14:textId="77777777" w:rsidR="00C944BC" w:rsidRPr="00C944BC" w:rsidRDefault="00C944BC" w:rsidP="00C944BC">
      <w:pPr>
        <w:numPr>
          <w:ilvl w:val="0"/>
          <w:numId w:val="1"/>
        </w:num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b/>
          <w:bCs/>
          <w:color w:val="000000"/>
          <w:kern w:val="0"/>
          <w:sz w:val="18"/>
          <w:szCs w:val="18"/>
          <w14:ligatures w14:val="none"/>
        </w:rPr>
        <w:t>What amount of electric load has been requested or projected for this facility.</w:t>
      </w:r>
    </w:p>
    <w:p w14:paraId="7B3F9D29" w14:textId="77777777" w:rsidR="00C944BC" w:rsidRPr="00C944BC" w:rsidRDefault="00C944BC" w:rsidP="00C944BC">
      <w:pPr>
        <w:numPr>
          <w:ilvl w:val="0"/>
          <w:numId w:val="1"/>
        </w:num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b/>
          <w:bCs/>
          <w:color w:val="000000"/>
          <w:kern w:val="0"/>
          <w:sz w:val="18"/>
          <w:szCs w:val="18"/>
          <w14:ligatures w14:val="none"/>
        </w:rPr>
        <w:t>Whether the facility is subject to ERCOT's Community Impact Audit for Medium Computational Loads (≥25 MW but &lt;75 MW), given the ~50 MW critical IT load reported in the SE Cosmos financing documents, and if so, what information ERCOT has collected or requested regarding power supply, water use, cooling systems, public incentives, and ownership.</w:t>
      </w:r>
    </w:p>
    <w:p w14:paraId="527D300C" w14:textId="77777777" w:rsidR="00C944BC" w:rsidRPr="00C944BC" w:rsidRDefault="00C944BC" w:rsidP="00C944BC">
      <w:pPr>
        <w:numPr>
          <w:ilvl w:val="0"/>
          <w:numId w:val="1"/>
        </w:num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b/>
          <w:bCs/>
          <w:color w:val="000000"/>
          <w:kern w:val="0"/>
          <w:sz w:val="18"/>
          <w:szCs w:val="18"/>
          <w14:ligatures w14:val="none"/>
        </w:rPr>
        <w:t>Whether the characterization of the facility presented in any ERCOT filing or attestation accurately reflects its planned use and electrical characteristics.</w:t>
      </w:r>
    </w:p>
    <w:p w14:paraId="27A91A65" w14:textId="77777777"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color w:val="000000"/>
          <w:kern w:val="0"/>
          <w:sz w:val="18"/>
          <w:szCs w:val="18"/>
          <w14:ligatures w14:val="none"/>
        </w:rPr>
        <w:t>We recognize that the term "critical IT load" used in financial documents is not necessarily identical to a facility's total electric demand or to the load figure used for ERCOT interconnection or audit purposes. We are not asking ERCOT to assume that the reported 50 MW figure represents the facility's total load, only to confirm whether the appropriate review track has been applied based on the project's actual submitted data.</w:t>
      </w:r>
    </w:p>
    <w:p w14:paraId="1D666CF6" w14:textId="77777777"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color w:val="000000"/>
          <w:kern w:val="0"/>
          <w:sz w:val="18"/>
          <w:szCs w:val="18"/>
          <w14:ligatures w14:val="none"/>
        </w:rPr>
        <w:t>If ERCOT cannot disclose project-specific information because of confidentiality requirements, we would still appreciate confirmation of:</w:t>
      </w:r>
    </w:p>
    <w:p w14:paraId="7D6ECBCA" w14:textId="77777777" w:rsidR="00C944BC" w:rsidRPr="00C944BC" w:rsidRDefault="00C944BC" w:rsidP="00C944BC">
      <w:pPr>
        <w:numPr>
          <w:ilvl w:val="0"/>
          <w:numId w:val="2"/>
        </w:num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b/>
          <w:bCs/>
          <w:color w:val="000000"/>
          <w:kern w:val="0"/>
          <w:sz w:val="18"/>
          <w:szCs w:val="18"/>
          <w14:ligatures w14:val="none"/>
        </w:rPr>
        <w:t>whether a project of this type and reported scale (approximately 50 MW) is generally subject to the Community Impact Audit;</w:t>
      </w:r>
    </w:p>
    <w:p w14:paraId="1E8D0DF4" w14:textId="77777777" w:rsidR="00C944BC" w:rsidRPr="00C944BC" w:rsidRDefault="00C944BC" w:rsidP="00C944BC">
      <w:pPr>
        <w:numPr>
          <w:ilvl w:val="0"/>
          <w:numId w:val="2"/>
        </w:num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b/>
          <w:bCs/>
          <w:color w:val="000000"/>
          <w:kern w:val="0"/>
          <w:sz w:val="18"/>
          <w:szCs w:val="18"/>
          <w14:ligatures w14:val="none"/>
        </w:rPr>
        <w:t>which entity is responsible for identifying the nature and magnitude of the load; and</w:t>
      </w:r>
    </w:p>
    <w:p w14:paraId="245D1000" w14:textId="77777777" w:rsidR="00C944BC" w:rsidRPr="00C944BC" w:rsidRDefault="00C944BC" w:rsidP="00C944BC">
      <w:pPr>
        <w:numPr>
          <w:ilvl w:val="0"/>
          <w:numId w:val="2"/>
        </w:num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b/>
          <w:bCs/>
          <w:color w:val="000000"/>
          <w:kern w:val="0"/>
          <w:sz w:val="18"/>
          <w:szCs w:val="18"/>
          <w14:ligatures w14:val="none"/>
        </w:rPr>
        <w:t>which state or utility authority should receive information if there is concern that a large load may have been inaccurately characterized.</w:t>
      </w:r>
    </w:p>
    <w:p w14:paraId="213B98FB" w14:textId="77777777"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color w:val="000000"/>
          <w:kern w:val="0"/>
          <w:sz w:val="18"/>
          <w:szCs w:val="18"/>
          <w14:ligatures w14:val="none"/>
        </w:rPr>
        <w:t>We would be pleased to provide the SEC financing documents, Fitch report, and TDLR construction filing referenced above.</w:t>
      </w:r>
    </w:p>
    <w:p w14:paraId="0668ABE1" w14:textId="77777777"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color w:val="000000"/>
          <w:kern w:val="0"/>
          <w:sz w:val="18"/>
          <w:szCs w:val="18"/>
          <w14:ligatures w14:val="none"/>
        </w:rPr>
        <w:t>Thank you for your attention to this request. We respectfully ask that ERCOT review this matter or advise us of the appropriate procedure for submitting it for review.</w:t>
      </w:r>
    </w:p>
    <w:p w14:paraId="78969048" w14:textId="77777777"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color w:val="000000"/>
          <w:kern w:val="0"/>
          <w:sz w:val="18"/>
          <w:szCs w:val="18"/>
          <w14:ligatures w14:val="none"/>
        </w:rPr>
        <w:t>Sincerely,</w:t>
      </w:r>
    </w:p>
    <w:p w14:paraId="432A072D" w14:textId="77777777" w:rsidR="00C944BC" w:rsidRPr="00C944BC" w:rsidRDefault="00C944BC" w:rsidP="00C944BC">
      <w:pPr>
        <w:spacing w:before="100" w:beforeAutospacing="1" w:after="100" w:afterAutospacing="1"/>
        <w:rPr>
          <w:rFonts w:ascii="Helvetica" w:hAnsi="Helvetica" w:cs="Times New Roman"/>
          <w:color w:val="000000"/>
          <w:kern w:val="0"/>
          <w:sz w:val="15"/>
          <w:szCs w:val="15"/>
          <w14:ligatures w14:val="none"/>
        </w:rPr>
      </w:pPr>
      <w:r w:rsidRPr="00C944BC">
        <w:rPr>
          <w:rFonts w:ascii="Helvetica" w:hAnsi="Helvetica" w:cs="Times New Roman"/>
          <w:color w:val="000000"/>
          <w:kern w:val="0"/>
          <w:sz w:val="18"/>
          <w:szCs w:val="18"/>
          <w14:ligatures w14:val="none"/>
        </w:rPr>
        <w:t>Linda Bailey</w:t>
      </w:r>
      <w:r w:rsidRPr="00C944BC">
        <w:rPr>
          <w:rFonts w:ascii="Helvetica" w:hAnsi="Helvetica" w:cs="Times New Roman"/>
          <w:color w:val="000000"/>
          <w:kern w:val="0"/>
          <w:sz w:val="18"/>
          <w:szCs w:val="18"/>
          <w14:ligatures w14:val="none"/>
        </w:rPr>
        <w:br/>
      </w:r>
      <w:hyperlink r:id="rId6" w:history="1">
        <w:r w:rsidRPr="00C944BC">
          <w:rPr>
            <w:rFonts w:ascii="Helvetica" w:hAnsi="Helvetica" w:cs="Times New Roman"/>
            <w:color w:val="0000FF"/>
            <w:kern w:val="0"/>
            <w:sz w:val="18"/>
            <w:szCs w:val="18"/>
            <w:u w:val="single"/>
            <w14:ligatures w14:val="none"/>
          </w:rPr>
          <w:t>lindabailey123@gmail.com</w:t>
        </w:r>
      </w:hyperlink>
      <w:r w:rsidRPr="00C944BC">
        <w:rPr>
          <w:rFonts w:ascii="Helvetica" w:hAnsi="Helvetica" w:cs="Times New Roman"/>
          <w:color w:val="000000"/>
          <w:kern w:val="0"/>
          <w:sz w:val="18"/>
          <w:szCs w:val="18"/>
          <w14:ligatures w14:val="none"/>
        </w:rPr>
        <w:t>, 512-809-0171</w:t>
      </w:r>
    </w:p>
    <w:p w14:paraId="3E622E47"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0"/>
          <w:szCs w:val="20"/>
          <w14:ligatures w14:val="none"/>
        </w:rPr>
        <w:t>c</w:t>
      </w:r>
      <w:r w:rsidRPr="00C944BC">
        <w:rPr>
          <w:rFonts w:ascii="Arial" w:hAnsi="Arial" w:cs="Arial"/>
          <w:color w:val="000000"/>
          <w:kern w:val="0"/>
          <w:sz w:val="18"/>
          <w:szCs w:val="18"/>
          <w14:ligatures w14:val="none"/>
        </w:rPr>
        <w:t>c: Public Utility Commission of Texas</w:t>
      </w:r>
    </w:p>
    <w:p w14:paraId="579626F8" w14:textId="77777777" w:rsidR="00C944BC" w:rsidRPr="00C944BC" w:rsidRDefault="00C944BC" w:rsidP="00C944BC">
      <w:pPr>
        <w:spacing w:before="240" w:after="240"/>
        <w:rPr>
          <w:rFonts w:ascii="Helvetica" w:hAnsi="Helvetica" w:cs="Times New Roman"/>
          <w:color w:val="000000"/>
          <w:kern w:val="0"/>
          <w:sz w:val="15"/>
          <w:szCs w:val="15"/>
          <w14:ligatures w14:val="none"/>
        </w:rPr>
      </w:pPr>
      <w:proofErr w:type="gramStart"/>
      <w:r w:rsidRPr="00C944BC">
        <w:rPr>
          <w:rFonts w:ascii="Arial" w:hAnsi="Arial" w:cs="Arial"/>
          <w:color w:val="000000"/>
          <w:kern w:val="0"/>
          <w:sz w:val="18"/>
          <w:szCs w:val="18"/>
          <w14:ligatures w14:val="none"/>
        </w:rPr>
        <w:t>PS</w:t>
      </w:r>
      <w:proofErr w:type="gramEnd"/>
      <w:r w:rsidRPr="00C944BC">
        <w:rPr>
          <w:rFonts w:ascii="Arial" w:hAnsi="Arial" w:cs="Arial"/>
          <w:color w:val="000000"/>
          <w:kern w:val="0"/>
          <w:sz w:val="18"/>
          <w:szCs w:val="18"/>
          <w14:ligatures w14:val="none"/>
        </w:rPr>
        <w:t xml:space="preserve"> Please route to the appropriate staff if needed. Thank you</w:t>
      </w:r>
    </w:p>
    <w:p w14:paraId="3661D561"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b/>
          <w:bCs/>
          <w:color w:val="000000"/>
          <w:kern w:val="0"/>
          <w:sz w:val="18"/>
          <w:szCs w:val="18"/>
          <w14:ligatures w14:val="none"/>
        </w:rPr>
        <w:t>FOOTNOTES</w:t>
      </w:r>
    </w:p>
    <w:p w14:paraId="6243C98C"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b/>
          <w:bCs/>
          <w:color w:val="000000"/>
          <w:kern w:val="0"/>
          <w:sz w:val="15"/>
          <w:szCs w:val="15"/>
          <w14:ligatures w14:val="none"/>
        </w:rPr>
        <w:t xml:space="preserve">[1] U.S. Securities and Exchange Commission, SE Cosmos, LLC, Indenture dated May 7, 2026, relating to $999 million in 8.875% Senior Secured Notes due 2031. The document uses the defined terms “Data Center Campus” and “Data Center Lease” and defines the project as the “data center project located in the </w:t>
      </w:r>
      <w:proofErr w:type="gramStart"/>
      <w:r w:rsidRPr="00C944BC">
        <w:rPr>
          <w:rFonts w:ascii="Arial" w:hAnsi="Arial" w:cs="Arial"/>
          <w:b/>
          <w:bCs/>
          <w:color w:val="000000"/>
          <w:kern w:val="0"/>
          <w:sz w:val="15"/>
          <w:szCs w:val="15"/>
          <w14:ligatures w14:val="none"/>
        </w:rPr>
        <w:t>Buildings</w:t>
      </w:r>
      <w:proofErr w:type="gramEnd"/>
      <w:r w:rsidRPr="00C944BC">
        <w:rPr>
          <w:rFonts w:ascii="Arial" w:hAnsi="Arial" w:cs="Arial"/>
          <w:b/>
          <w:bCs/>
          <w:color w:val="000000"/>
          <w:kern w:val="0"/>
          <w:sz w:val="15"/>
          <w:szCs w:val="15"/>
          <w14:ligatures w14:val="none"/>
        </w:rPr>
        <w:t>.”</w:t>
      </w:r>
      <w:r w:rsidRPr="00C944BC">
        <w:rPr>
          <w:rFonts w:ascii="Arial" w:hAnsi="Arial" w:cs="Arial"/>
          <w:b/>
          <w:bCs/>
          <w:color w:val="000000"/>
          <w:kern w:val="0"/>
          <w:sz w:val="15"/>
          <w:szCs w:val="15"/>
          <w14:ligatures w14:val="none"/>
        </w:rPr>
        <w:br/>
      </w:r>
      <w:hyperlink r:id="rId7" w:history="1">
        <w:r w:rsidRPr="00C944BC">
          <w:rPr>
            <w:rFonts w:ascii="Arial" w:hAnsi="Arial" w:cs="Arial"/>
            <w:b/>
            <w:bCs/>
            <w:color w:val="1155CC"/>
            <w:kern w:val="0"/>
            <w:sz w:val="15"/>
            <w:szCs w:val="15"/>
            <w14:ligatures w14:val="none"/>
          </w:rPr>
          <w:t>https://www.sec.gov/Archives/edgar/data/2133037/000162828026059639/exhibit102-indenturexcosmo.htm</w:t>
        </w:r>
      </w:hyperlink>
    </w:p>
    <w:p w14:paraId="5D97DB7F"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5"/>
          <w:szCs w:val="15"/>
          <w14:ligatures w14:val="none"/>
        </w:rPr>
        <w:t>[2] Fitch Ratings, “Fitch Rates SE Cosmos, LLC's Senior Secured Notes ‘BB-’; Outlook Stable,” May 28, 2026. Fitch describes the project as a newly constructed data center with approximately 50 MW of critical IT load.</w:t>
      </w:r>
      <w:r w:rsidRPr="00C944BC">
        <w:rPr>
          <w:rFonts w:ascii="Arial" w:hAnsi="Arial" w:cs="Arial"/>
          <w:color w:val="000000"/>
          <w:kern w:val="0"/>
          <w:sz w:val="15"/>
          <w:szCs w:val="15"/>
          <w14:ligatures w14:val="none"/>
        </w:rPr>
        <w:br/>
      </w:r>
      <w:hyperlink r:id="rId8" w:history="1">
        <w:r w:rsidRPr="00C944BC">
          <w:rPr>
            <w:rFonts w:ascii="Arial" w:hAnsi="Arial" w:cs="Arial"/>
            <w:color w:val="1155CC"/>
            <w:kern w:val="0"/>
            <w:sz w:val="15"/>
            <w:szCs w:val="15"/>
            <w14:ligatures w14:val="none"/>
          </w:rPr>
          <w:t>https://www.fitchratings.com/research/infrastructure-project-finance/fitch-rates-se-cosmos-llc-senior-secured-notes-bb-outlook-stable-28-05-2026</w:t>
        </w:r>
      </w:hyperlink>
    </w:p>
    <w:p w14:paraId="25CC7699"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5"/>
          <w:szCs w:val="15"/>
          <w14:ligatures w14:val="none"/>
        </w:rPr>
        <w:lastRenderedPageBreak/>
        <w:t>[3] Texas Department of Licensing and Regulation, Architectural Barriers Project No. TABS2026007469, “Cosmos,” Highpoint, 6801 River Place Boulevard, Austin. The filing reports approximately 234,000 square feet of work, an estimated project cost of $610 million, structural reinforcement, and modifications to mechanical, electrical, plumbing and IT systems.</w:t>
      </w:r>
      <w:r w:rsidRPr="00C944BC">
        <w:rPr>
          <w:rFonts w:ascii="Arial" w:hAnsi="Arial" w:cs="Arial"/>
          <w:color w:val="000000"/>
          <w:kern w:val="0"/>
          <w:sz w:val="15"/>
          <w:szCs w:val="15"/>
          <w14:ligatures w14:val="none"/>
        </w:rPr>
        <w:br/>
      </w:r>
      <w:hyperlink r:id="rId9" w:history="1">
        <w:r w:rsidRPr="00C944BC">
          <w:rPr>
            <w:rFonts w:ascii="Arial" w:hAnsi="Arial" w:cs="Arial"/>
            <w:color w:val="1155CC"/>
            <w:kern w:val="0"/>
            <w:sz w:val="15"/>
            <w:szCs w:val="15"/>
            <w14:ligatures w14:val="none"/>
          </w:rPr>
          <w:t>https://www.tdlr.texas.gov/TABS/Search/Project/TABS2026007469</w:t>
        </w:r>
      </w:hyperlink>
    </w:p>
    <w:p w14:paraId="2FEE8ECB"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5"/>
          <w:szCs w:val="15"/>
          <w14:ligatures w14:val="none"/>
        </w:rPr>
        <w:t>[4] Electric Reliability Council of Texas, “Large Load Integration.” ERCOT maintains procedures, forms and study requirements for interconnecting large loads.</w:t>
      </w:r>
      <w:r w:rsidRPr="00C944BC">
        <w:rPr>
          <w:rFonts w:ascii="Arial" w:hAnsi="Arial" w:cs="Arial"/>
          <w:color w:val="000000"/>
          <w:kern w:val="0"/>
          <w:sz w:val="15"/>
          <w:szCs w:val="15"/>
          <w14:ligatures w14:val="none"/>
        </w:rPr>
        <w:br/>
      </w:r>
      <w:hyperlink r:id="rId10" w:history="1">
        <w:r w:rsidRPr="00C944BC">
          <w:rPr>
            <w:rFonts w:ascii="Arial" w:hAnsi="Arial" w:cs="Arial"/>
            <w:color w:val="1155CC"/>
            <w:kern w:val="0"/>
            <w:sz w:val="15"/>
            <w:szCs w:val="15"/>
            <w14:ligatures w14:val="none"/>
          </w:rPr>
          <w:t>https://www.ercot.com/services/rq/large-load-integration</w:t>
        </w:r>
      </w:hyperlink>
    </w:p>
    <w:p w14:paraId="6DE8D8F6"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5"/>
          <w:szCs w:val="15"/>
          <w14:ligatures w14:val="none"/>
        </w:rPr>
        <w:t>[5] ERCOT, “PUCT Approves ERCOT's Batch Zero Process for Connecting Large Electricity Users While Protecting System Reliability for Texans,” June 18, 2026. ERCOT states that the process is designed for large electricity users, including data centers, and that qualifying projects of 75 MW and greater are evaluated through the Batch Zero framework.</w:t>
      </w:r>
      <w:r w:rsidRPr="00C944BC">
        <w:rPr>
          <w:rFonts w:ascii="Arial" w:hAnsi="Arial" w:cs="Arial"/>
          <w:color w:val="000000"/>
          <w:kern w:val="0"/>
          <w:sz w:val="15"/>
          <w:szCs w:val="15"/>
          <w14:ligatures w14:val="none"/>
        </w:rPr>
        <w:br/>
      </w:r>
      <w:hyperlink r:id="rId11" w:history="1">
        <w:r w:rsidRPr="00C944BC">
          <w:rPr>
            <w:rFonts w:ascii="Arial" w:hAnsi="Arial" w:cs="Arial"/>
            <w:color w:val="1155CC"/>
            <w:kern w:val="0"/>
            <w:sz w:val="15"/>
            <w:szCs w:val="15"/>
            <w14:ligatures w14:val="none"/>
          </w:rPr>
          <w:t>https://www.ercot.com/news/release/06182026-puct-approves-ercots</w:t>
        </w:r>
      </w:hyperlink>
    </w:p>
    <w:p w14:paraId="18D83FB1"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5"/>
          <w:szCs w:val="15"/>
          <w14:ligatures w14:val="none"/>
        </w:rPr>
        <w:t>[6] ERCOT Market Notice M-A080326-01, August 3, 2026. ERCOT stated that Governor Greg Abbott directed ERCOT to conduct a verification process before advancing data-center Large Loads through the interconnection process.</w:t>
      </w:r>
      <w:r w:rsidRPr="00C944BC">
        <w:rPr>
          <w:rFonts w:ascii="Arial" w:hAnsi="Arial" w:cs="Arial"/>
          <w:color w:val="000000"/>
          <w:kern w:val="0"/>
          <w:sz w:val="15"/>
          <w:szCs w:val="15"/>
          <w14:ligatures w14:val="none"/>
        </w:rPr>
        <w:br/>
      </w:r>
      <w:hyperlink r:id="rId12" w:history="1">
        <w:r w:rsidRPr="00C944BC">
          <w:rPr>
            <w:rFonts w:ascii="Arial" w:hAnsi="Arial" w:cs="Arial"/>
            <w:color w:val="1155CC"/>
            <w:kern w:val="0"/>
            <w:sz w:val="15"/>
            <w:szCs w:val="15"/>
            <w14:ligatures w14:val="none"/>
          </w:rPr>
          <w:t>https://www.ercot.com/services/comm/mkt_notices/M-A080326-01</w:t>
        </w:r>
      </w:hyperlink>
    </w:p>
    <w:p w14:paraId="3B10398D"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1155CC"/>
          <w:kern w:val="0"/>
          <w:sz w:val="15"/>
          <w:szCs w:val="15"/>
          <w14:ligatures w14:val="none"/>
        </w:rPr>
        <w:t xml:space="preserve">[7] </w:t>
      </w:r>
      <w:r w:rsidRPr="00C944BC">
        <w:rPr>
          <w:rFonts w:ascii="Arial" w:hAnsi="Arial" w:cs="Arial"/>
          <w:color w:val="000000"/>
          <w:kern w:val="0"/>
          <w:sz w:val="15"/>
          <w:szCs w:val="15"/>
          <w14:ligatures w14:val="none"/>
        </w:rPr>
        <w:t xml:space="preserve">SE Cosmos LLC is converting a former corporate R&amp;D facility in Austin, Texas into a R&amp;D technology center comprising 50-megawatt (MW) of critical IT load of rack development halls, silicon development bench spaces, and high-density powered lab halls, plus office, storage and related spaces in a five-story facility, including equipment yards and an ancillary parking area on the wider site. SoftBank will use these facilities for R&amp;D to support its AI technology development strategy. Cosmos is indirectly owned by SB Energy. </w:t>
      </w:r>
      <w:proofErr w:type="gramStart"/>
      <w:r w:rsidRPr="00C944BC">
        <w:rPr>
          <w:rFonts w:ascii="Arial" w:hAnsi="Arial" w:cs="Arial"/>
          <w:color w:val="000000"/>
          <w:kern w:val="0"/>
          <w:sz w:val="15"/>
          <w:szCs w:val="15"/>
          <w14:ligatures w14:val="none"/>
        </w:rPr>
        <w:t>…..</w:t>
      </w:r>
      <w:proofErr w:type="gramEnd"/>
      <w:r w:rsidRPr="00C944BC">
        <w:rPr>
          <w:rFonts w:ascii="Arial" w:hAnsi="Arial" w:cs="Arial"/>
          <w:color w:val="0A0A0A"/>
          <w:kern w:val="0"/>
          <w:sz w:val="15"/>
          <w:szCs w:val="15"/>
          <w:shd w:val="clear" w:color="auto" w:fill="FEFEFE"/>
          <w14:ligatures w14:val="none"/>
        </w:rPr>
        <w:t xml:space="preserve">The stable outlook reflects our expectation that the </w:t>
      </w:r>
      <w:r w:rsidRPr="00C944BC">
        <w:rPr>
          <w:rFonts w:ascii="Arial" w:hAnsi="Arial" w:cs="Arial"/>
          <w:b/>
          <w:bCs/>
          <w:color w:val="0A0A0A"/>
          <w:kern w:val="0"/>
          <w:sz w:val="15"/>
          <w:szCs w:val="15"/>
          <w:shd w:val="clear" w:color="auto" w:fill="FEFEFE"/>
          <w14:ligatures w14:val="none"/>
        </w:rPr>
        <w:t>data center w</w:t>
      </w:r>
      <w:r w:rsidRPr="00C944BC">
        <w:rPr>
          <w:rFonts w:ascii="Arial" w:hAnsi="Arial" w:cs="Arial"/>
          <w:color w:val="0A0A0A"/>
          <w:kern w:val="0"/>
          <w:sz w:val="15"/>
          <w:szCs w:val="15"/>
          <w:shd w:val="clear" w:color="auto" w:fill="FEFEFE"/>
          <w14:ligatures w14:val="none"/>
        </w:rPr>
        <w:t xml:space="preserve">ill be completed within budget and become operational on schedule. The project will benefit from steady contractual 3% annual revenue escalators and full operating cost pass-through under the triple-net lease. Additionally, we expect the project's DSCR will remain stable at about 1.15x following the bond </w:t>
      </w:r>
      <w:proofErr w:type="spellStart"/>
      <w:proofErr w:type="gramStart"/>
      <w:r w:rsidRPr="00C944BC">
        <w:rPr>
          <w:rFonts w:ascii="Arial" w:hAnsi="Arial" w:cs="Arial"/>
          <w:color w:val="0A0A0A"/>
          <w:kern w:val="0"/>
          <w:sz w:val="15"/>
          <w:szCs w:val="15"/>
          <w:shd w:val="clear" w:color="auto" w:fill="FEFEFE"/>
          <w14:ligatures w14:val="none"/>
        </w:rPr>
        <w:t>refinancing.The</w:t>
      </w:r>
      <w:proofErr w:type="spellEnd"/>
      <w:proofErr w:type="gramEnd"/>
      <w:r w:rsidRPr="00C944BC">
        <w:rPr>
          <w:rFonts w:ascii="Arial" w:hAnsi="Arial" w:cs="Arial"/>
          <w:color w:val="0A0A0A"/>
          <w:kern w:val="0"/>
          <w:sz w:val="15"/>
          <w:szCs w:val="15"/>
          <w:shd w:val="clear" w:color="auto" w:fill="FEFEFE"/>
          <w14:ligatures w14:val="none"/>
        </w:rPr>
        <w:t xml:space="preserve"> stable outlook reflects our expectation that the data center will be completed within budget and become operational on schedule. The project will benefit from steady contractual 3% annual revenue escalators and full operating cost pass-through under the triple-net lease. Additionally, we expect the project's DSCR will remain stable at about 1.15x following the bond refinancing and </w:t>
      </w:r>
      <w:hyperlink r:id="rId13" w:history="1">
        <w:r w:rsidRPr="00C944BC">
          <w:rPr>
            <w:rFonts w:ascii="Arial" w:hAnsi="Arial" w:cs="Arial"/>
            <w:color w:val="0000FF"/>
            <w:kern w:val="0"/>
            <w:sz w:val="15"/>
            <w:szCs w:val="15"/>
            <w:u w:val="single"/>
            <w14:ligatures w14:val="none"/>
          </w:rPr>
          <w:t>https://www.spglobal.com/ratings/en/regulatory/article/-/view/type/HTML/id/3619002</w:t>
        </w:r>
      </w:hyperlink>
    </w:p>
    <w:p w14:paraId="787C9E4D" w14:textId="77777777" w:rsidR="00C944BC" w:rsidRPr="00C944BC" w:rsidRDefault="00C944BC" w:rsidP="00C944BC">
      <w:pPr>
        <w:rPr>
          <w:rFonts w:ascii="Times New Roman" w:hAnsi="Times New Roman" w:cs="Times New Roman"/>
          <w:kern w:val="0"/>
          <w14:ligatures w14:val="none"/>
        </w:rPr>
      </w:pPr>
    </w:p>
    <w:p w14:paraId="08736C3E" w14:textId="24EA75A1" w:rsidR="00C944BC" w:rsidRDefault="00C944BC" w:rsidP="00C944BC">
      <w:pPr>
        <w:spacing w:before="240" w:after="240"/>
        <w:rPr>
          <w:rFonts w:ascii="Arial" w:hAnsi="Arial" w:cs="Arial"/>
          <w:color w:val="000000"/>
          <w:kern w:val="0"/>
          <w:sz w:val="18"/>
          <w:szCs w:val="18"/>
          <w14:ligatures w14:val="none"/>
        </w:rPr>
      </w:pPr>
      <w:r w:rsidRPr="00C944BC">
        <w:rPr>
          <w:rFonts w:ascii="Arial" w:hAnsi="Arial" w:cs="Arial"/>
          <w:color w:val="000000"/>
          <w:kern w:val="0"/>
          <w:sz w:val="18"/>
          <w:szCs w:val="18"/>
          <w14:ligatures w14:val="none"/>
        </w:rPr>
        <w:drawing>
          <wp:inline distT="0" distB="0" distL="0" distR="0" wp14:anchorId="51AF75B5" wp14:editId="4C8537C9">
            <wp:extent cx="5943600" cy="652145"/>
            <wp:effectExtent l="0" t="0" r="0" b="0"/>
            <wp:docPr id="253800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800479" name=""/>
                    <pic:cNvPicPr/>
                  </pic:nvPicPr>
                  <pic:blipFill>
                    <a:blip r:embed="rId14"/>
                    <a:stretch>
                      <a:fillRect/>
                    </a:stretch>
                  </pic:blipFill>
                  <pic:spPr>
                    <a:xfrm>
                      <a:off x="0" y="0"/>
                      <a:ext cx="5943600" cy="652145"/>
                    </a:xfrm>
                    <a:prstGeom prst="rect">
                      <a:avLst/>
                    </a:prstGeom>
                  </pic:spPr>
                </pic:pic>
              </a:graphicData>
            </a:graphic>
          </wp:inline>
        </w:drawing>
      </w:r>
    </w:p>
    <w:p w14:paraId="357C8587" w14:textId="77777777" w:rsidR="00C944BC" w:rsidRDefault="00C944BC" w:rsidP="00C944BC">
      <w:pPr>
        <w:spacing w:before="240" w:after="240"/>
        <w:rPr>
          <w:rFonts w:ascii="Arial" w:hAnsi="Arial" w:cs="Arial"/>
          <w:color w:val="000000"/>
          <w:kern w:val="0"/>
          <w:sz w:val="18"/>
          <w:szCs w:val="18"/>
          <w14:ligatures w14:val="none"/>
        </w:rPr>
      </w:pPr>
    </w:p>
    <w:p w14:paraId="1F076E94" w14:textId="7B7E407A" w:rsidR="00C944BC" w:rsidRPr="00C944BC" w:rsidRDefault="00C944BC" w:rsidP="00C944BC">
      <w:pPr>
        <w:spacing w:before="240" w:after="240"/>
        <w:rPr>
          <w:rFonts w:ascii="Helvetica" w:hAnsi="Helvetica" w:cs="Times New Roman"/>
          <w:color w:val="000000"/>
          <w:kern w:val="0"/>
          <w:sz w:val="15"/>
          <w:szCs w:val="15"/>
          <w14:ligatures w14:val="none"/>
        </w:rPr>
      </w:pPr>
      <w:r>
        <w:rPr>
          <w:rFonts w:ascii="Arial" w:hAnsi="Arial" w:cs="Arial"/>
          <w:color w:val="000000"/>
          <w:kern w:val="0"/>
          <w:sz w:val="18"/>
          <w:szCs w:val="18"/>
          <w14:ligatures w14:val="none"/>
        </w:rPr>
        <w:t>Att</w:t>
      </w:r>
      <w:r w:rsidRPr="00C944BC">
        <w:rPr>
          <w:rFonts w:ascii="Arial" w:hAnsi="Arial" w:cs="Arial"/>
          <w:color w:val="000000"/>
          <w:kern w:val="0"/>
          <w:sz w:val="18"/>
          <w:szCs w:val="18"/>
          <w14:ligatures w14:val="none"/>
        </w:rPr>
        <w:t>n: Data Center Program / Tax Policy Division</w:t>
      </w:r>
    </w:p>
    <w:p w14:paraId="7B29D36B"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Re: Request for Review of 6801 River Place Boulevard, Austin — Possible Data Center Use</w:t>
      </w:r>
    </w:p>
    <w:p w14:paraId="0EA09DCB"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Dear Comptroller:</w:t>
      </w:r>
    </w:p>
    <w:p w14:paraId="42D23A34"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 xml:space="preserve">I am writing to request that the Texas Comptroller review the redevelopment of the former 3M campus at 6801 River Place Boulevard in Austin and determine whether the facility </w:t>
      </w:r>
      <w:proofErr w:type="gramStart"/>
      <w:r w:rsidRPr="00C944BC">
        <w:rPr>
          <w:rFonts w:ascii="Arial" w:hAnsi="Arial" w:cs="Arial"/>
          <w:color w:val="000000"/>
          <w:kern w:val="0"/>
          <w:sz w:val="18"/>
          <w:szCs w:val="18"/>
          <w14:ligatures w14:val="none"/>
        </w:rPr>
        <w:t>is, or</w:t>
      </w:r>
      <w:proofErr w:type="gramEnd"/>
      <w:r w:rsidRPr="00C944BC">
        <w:rPr>
          <w:rFonts w:ascii="Arial" w:hAnsi="Arial" w:cs="Arial"/>
          <w:color w:val="000000"/>
          <w:kern w:val="0"/>
          <w:sz w:val="18"/>
          <w:szCs w:val="18"/>
          <w14:ligatures w14:val="none"/>
        </w:rPr>
        <w:t xml:space="preserve"> is being developed in whole or substantial part as, a data center within the meaning of Texas Tax Code §151.359 or any other provision administered by your office.</w:t>
      </w:r>
    </w:p>
    <w:p w14:paraId="160FC558"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b/>
          <w:bCs/>
          <w:color w:val="000000"/>
          <w:kern w:val="0"/>
          <w:sz w:val="18"/>
          <w:szCs w:val="18"/>
          <w14:ligatures w14:val="none"/>
        </w:rPr>
        <w:t>We are making this request because public records contain materially different descriptions of the project.</w:t>
      </w:r>
    </w:p>
    <w:p w14:paraId="76127C62"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The project has been described publicly by SB Energy as an R&amp;D center. On August 25, 2026, Four Points News reported that an SB Energy spokesperson said the site “still remains planned as an R&amp;D Center” and that it is permitted locally as office and laboratory space.[1]</w:t>
      </w:r>
    </w:p>
    <w:p w14:paraId="3E3ABD61" w14:textId="77777777" w:rsidR="00C944BC" w:rsidRPr="00C944BC" w:rsidRDefault="00C944BC" w:rsidP="00C944BC">
      <w:pPr>
        <w:spacing w:before="240" w:after="240"/>
        <w:rPr>
          <w:rFonts w:ascii="Helvetica" w:hAnsi="Helvetica" w:cs="Times New Roman"/>
          <w:color w:val="000000"/>
          <w:kern w:val="0"/>
          <w:sz w:val="15"/>
          <w:szCs w:val="15"/>
          <w14:ligatures w14:val="none"/>
        </w:rPr>
      </w:pPr>
      <w:proofErr w:type="spellStart"/>
      <w:r w:rsidRPr="00C944BC">
        <w:rPr>
          <w:rFonts w:ascii="Arial" w:hAnsi="Arial" w:cs="Arial"/>
          <w:color w:val="000000"/>
          <w:kern w:val="0"/>
          <w:sz w:val="18"/>
          <w:szCs w:val="18"/>
          <w14:ligatures w14:val="none"/>
        </w:rPr>
        <w:t>Graphcore</w:t>
      </w:r>
      <w:proofErr w:type="spellEnd"/>
      <w:r w:rsidRPr="00C944BC">
        <w:rPr>
          <w:rFonts w:ascii="Arial" w:hAnsi="Arial" w:cs="Arial"/>
          <w:color w:val="000000"/>
          <w:kern w:val="0"/>
          <w:sz w:val="18"/>
          <w:szCs w:val="18"/>
          <w14:ligatures w14:val="none"/>
        </w:rPr>
        <w:t xml:space="preserve"> has now been identified as the tenant. </w:t>
      </w:r>
      <w:proofErr w:type="spellStart"/>
      <w:r w:rsidRPr="00C944BC">
        <w:rPr>
          <w:rFonts w:ascii="Arial" w:hAnsi="Arial" w:cs="Arial"/>
          <w:color w:val="000000"/>
          <w:kern w:val="0"/>
          <w:sz w:val="18"/>
          <w:szCs w:val="18"/>
          <w14:ligatures w14:val="none"/>
        </w:rPr>
        <w:t>Graphcore's</w:t>
      </w:r>
      <w:proofErr w:type="spellEnd"/>
      <w:r w:rsidRPr="00C944BC">
        <w:rPr>
          <w:rFonts w:ascii="Arial" w:hAnsi="Arial" w:cs="Arial"/>
          <w:color w:val="000000"/>
          <w:kern w:val="0"/>
          <w:sz w:val="18"/>
          <w:szCs w:val="18"/>
          <w14:ligatures w14:val="none"/>
        </w:rPr>
        <w:t xml:space="preserve"> own website lists its Austin location as the “Highpoint Innovation Center, 6801 River Place Boulevard, Austin, TX 78726</w:t>
      </w:r>
      <w:proofErr w:type="gramStart"/>
      <w:r w:rsidRPr="00C944BC">
        <w:rPr>
          <w:rFonts w:ascii="Arial" w:hAnsi="Arial" w:cs="Arial"/>
          <w:color w:val="000000"/>
          <w:kern w:val="0"/>
          <w:sz w:val="18"/>
          <w:szCs w:val="18"/>
          <w14:ligatures w14:val="none"/>
        </w:rPr>
        <w:t>.”[</w:t>
      </w:r>
      <w:proofErr w:type="gramEnd"/>
      <w:r w:rsidRPr="00C944BC">
        <w:rPr>
          <w:rFonts w:ascii="Arial" w:hAnsi="Arial" w:cs="Arial"/>
          <w:color w:val="000000"/>
          <w:kern w:val="0"/>
          <w:sz w:val="18"/>
          <w:szCs w:val="18"/>
          <w14:ligatures w14:val="none"/>
        </w:rPr>
        <w:t>2]</w:t>
      </w:r>
    </w:p>
    <w:p w14:paraId="6E7FFCCA"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At the same time, financial and regulatory records use terminology strongly associated with a data center project. [3] [8] </w:t>
      </w:r>
    </w:p>
    <w:p w14:paraId="3F11C752"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 xml:space="preserve">Most significantly, an indenture filed with the U.S. Securities and Exchange Commission by SE Cosmos, LLC on May 7, </w:t>
      </w:r>
      <w:proofErr w:type="gramStart"/>
      <w:r w:rsidRPr="00C944BC">
        <w:rPr>
          <w:rFonts w:ascii="Arial" w:hAnsi="Arial" w:cs="Arial"/>
          <w:color w:val="000000"/>
          <w:kern w:val="0"/>
          <w:sz w:val="18"/>
          <w:szCs w:val="18"/>
          <w14:ligatures w14:val="none"/>
        </w:rPr>
        <w:t>2026</w:t>
      </w:r>
      <w:proofErr w:type="gramEnd"/>
      <w:r w:rsidRPr="00C944BC">
        <w:rPr>
          <w:rFonts w:ascii="Arial" w:hAnsi="Arial" w:cs="Arial"/>
          <w:color w:val="000000"/>
          <w:kern w:val="0"/>
          <w:sz w:val="18"/>
          <w:szCs w:val="18"/>
          <w14:ligatures w14:val="none"/>
        </w:rPr>
        <w:t xml:space="preserve"> describes the financed project using the following defined terms:</w:t>
      </w:r>
    </w:p>
    <w:p w14:paraId="28186AE2" w14:textId="77777777" w:rsidR="00C944BC" w:rsidRPr="00C944BC" w:rsidRDefault="00C944BC" w:rsidP="00C944BC">
      <w:pPr>
        <w:spacing w:before="240" w:after="240"/>
        <w:ind w:left="72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lastRenderedPageBreak/>
        <w:t>• “Data Center Campus”;</w:t>
      </w:r>
      <w:r w:rsidRPr="00C944BC">
        <w:rPr>
          <w:rFonts w:ascii="Arial" w:hAnsi="Arial" w:cs="Arial"/>
          <w:color w:val="000000"/>
          <w:kern w:val="0"/>
          <w:sz w:val="18"/>
          <w:szCs w:val="18"/>
          <w14:ligatures w14:val="none"/>
        </w:rPr>
        <w:br/>
        <w:t>• “Data Center Lease”;</w:t>
      </w:r>
      <w:r w:rsidRPr="00C944BC">
        <w:rPr>
          <w:rFonts w:ascii="Arial" w:hAnsi="Arial" w:cs="Arial"/>
          <w:color w:val="000000"/>
          <w:kern w:val="0"/>
          <w:sz w:val="18"/>
          <w:szCs w:val="18"/>
          <w14:ligatures w14:val="none"/>
        </w:rPr>
        <w:br/>
        <w:t>• “Qualifying Data Center Lease”; and</w:t>
      </w:r>
      <w:r w:rsidRPr="00C944BC">
        <w:rPr>
          <w:rFonts w:ascii="Arial" w:hAnsi="Arial" w:cs="Arial"/>
          <w:color w:val="000000"/>
          <w:kern w:val="0"/>
          <w:sz w:val="18"/>
          <w:szCs w:val="18"/>
          <w14:ligatures w14:val="none"/>
        </w:rPr>
        <w:br/>
        <w:t xml:space="preserve">• “Project,” defined as “the data center project located in the </w:t>
      </w:r>
      <w:proofErr w:type="gramStart"/>
      <w:r w:rsidRPr="00C944BC">
        <w:rPr>
          <w:rFonts w:ascii="Arial" w:hAnsi="Arial" w:cs="Arial"/>
          <w:color w:val="000000"/>
          <w:kern w:val="0"/>
          <w:sz w:val="18"/>
          <w:szCs w:val="18"/>
          <w14:ligatures w14:val="none"/>
        </w:rPr>
        <w:t>Buildings.”[</w:t>
      </w:r>
      <w:proofErr w:type="gramEnd"/>
      <w:r w:rsidRPr="00C944BC">
        <w:rPr>
          <w:rFonts w:ascii="Arial" w:hAnsi="Arial" w:cs="Arial"/>
          <w:color w:val="000000"/>
          <w:kern w:val="0"/>
          <w:sz w:val="18"/>
          <w:szCs w:val="18"/>
          <w14:ligatures w14:val="none"/>
        </w:rPr>
        <w:t>3]</w:t>
      </w:r>
    </w:p>
    <w:p w14:paraId="4BC92EA0"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The SEC-filed indenture also defines the “Data Center Campus” as the data center campus containing the project site and describes the buildings as those to be constructed on the project site pursuant to the Data Center Lease.[3]</w:t>
      </w:r>
    </w:p>
    <w:p w14:paraId="000E97C1"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The financing document further defines a “Qualified Operator” as a person with primary operational control over at least 50 MW of data centers in the United States.[3]</w:t>
      </w:r>
    </w:p>
    <w:p w14:paraId="4AE0829B"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We believe these descriptions do not, by themselves, establish how the facility should be classified under Texas law. They do, however, raise a reasonable question as to whether the project's actual intended use differs from, or is broader than, its public description as an R&amp;D facility.</w:t>
      </w:r>
    </w:p>
    <w:p w14:paraId="21FF56B1"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The scale of the construction also warrants review.</w:t>
      </w:r>
    </w:p>
    <w:p w14:paraId="5BAD985E"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The Texas Department of Licensing and Regulation's Architectural Barriers filing for Project No. TABS2026007469 identifies the project as “Cosmos” at Highpoint, 6801 River Place Boulevard. The filing states that the project involves:</w:t>
      </w:r>
    </w:p>
    <w:p w14:paraId="2DBB46B6" w14:textId="77777777" w:rsidR="00C944BC" w:rsidRPr="00C944BC" w:rsidRDefault="00C944BC" w:rsidP="00C944BC">
      <w:pPr>
        <w:spacing w:before="240" w:after="240"/>
        <w:ind w:left="72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 234,000 square feet of renovation or alteration;</w:t>
      </w:r>
      <w:r w:rsidRPr="00C944BC">
        <w:rPr>
          <w:rFonts w:ascii="Arial" w:hAnsi="Arial" w:cs="Arial"/>
          <w:color w:val="000000"/>
          <w:kern w:val="0"/>
          <w:sz w:val="18"/>
          <w:szCs w:val="18"/>
          <w14:ligatures w14:val="none"/>
        </w:rPr>
        <w:br/>
        <w:t>• an estimated construction cost of $610 million;</w:t>
      </w:r>
      <w:r w:rsidRPr="00C944BC">
        <w:rPr>
          <w:rFonts w:ascii="Arial" w:hAnsi="Arial" w:cs="Arial"/>
          <w:color w:val="000000"/>
          <w:kern w:val="0"/>
          <w:sz w:val="18"/>
          <w:szCs w:val="18"/>
          <w14:ligatures w14:val="none"/>
        </w:rPr>
        <w:br/>
        <w:t>• tenant improvements within four sectors of the existing five-story campus building;</w:t>
      </w:r>
      <w:r w:rsidRPr="00C944BC">
        <w:rPr>
          <w:rFonts w:ascii="Arial" w:hAnsi="Arial" w:cs="Arial"/>
          <w:color w:val="000000"/>
          <w:kern w:val="0"/>
          <w:sz w:val="18"/>
          <w:szCs w:val="18"/>
          <w14:ligatures w14:val="none"/>
        </w:rPr>
        <w:br/>
        <w:t>• structural reinforcement; and</w:t>
      </w:r>
      <w:r w:rsidRPr="00C944BC">
        <w:rPr>
          <w:rFonts w:ascii="Arial" w:hAnsi="Arial" w:cs="Arial"/>
          <w:color w:val="000000"/>
          <w:kern w:val="0"/>
          <w:sz w:val="18"/>
          <w:szCs w:val="18"/>
          <w14:ligatures w14:val="none"/>
        </w:rPr>
        <w:br/>
        <w:t>• modifications to mechanical, electrical, plumbing and IT systems.[4]</w:t>
      </w:r>
    </w:p>
    <w:p w14:paraId="04947190"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The TDLR filing also states that the project is privately funded and that the private funds are provided by the tenant.[4]</w:t>
      </w:r>
    </w:p>
    <w:p w14:paraId="4DD552B1"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The financing is substantial as well. The SEC-filed indenture documents $999 million in 8.875% Senior Secured Notes due 2031 issued by SE Cosmos, LLC.[3] The law firm representing the initial purchasers in that financing publicly stated that the proceeds would be used to finance construction of a “high-performance computing data center in Austin, Texas.”  [5]</w:t>
      </w:r>
    </w:p>
    <w:p w14:paraId="0BD21EAE"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We believe Texas law provides a useful statutory framework for reviewing these facts.</w:t>
      </w:r>
    </w:p>
    <w:p w14:paraId="16EFAC8A"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As you know Texas Tax Code §151.359 defines a “data center,” for purposes of the state's qualifying-data-center sales-tax exemption, as at least 100,000 square feet in a single building or portion of a building that is specifically constructed or refurbished and actually used primarily to house servers and related equipment and support staff for the processing, storage and distribution of data.[6]</w:t>
      </w:r>
    </w:p>
    <w:p w14:paraId="03BAEDDF"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The statute also requires that such a facility have an uninterruptible power source, generator backup power, sophisticated fire-suppression and prevention systems, and enhanced physical security.[6]</w:t>
      </w:r>
    </w:p>
    <w:p w14:paraId="35443F48"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For certification as a qualifying data center, the statute imposes additional requirements, including creation of at least 20 qualifying jobs and a capital investment of at least $200 million over the applicable five-year period.[6]</w:t>
      </w:r>
    </w:p>
    <w:p w14:paraId="163C7AA3"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The Comptroller's own guidance confirms these requirements and states that owners, operators and occupants may apply for certification and registration under the qualifying-data-center program.[7]</w:t>
      </w:r>
    </w:p>
    <w:p w14:paraId="29396BA6"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 xml:space="preserve">We recognize that the TDLR filing's $610 million estimated construction cost is not necessarily the same thing as the “capital investment” defined and measured under §151.359. We also recognize that the TDLR project's 234,000-square-foot scope does not, standing alone, establish that all or any </w:t>
      </w:r>
      <w:proofErr w:type="gramStart"/>
      <w:r w:rsidRPr="00C944BC">
        <w:rPr>
          <w:rFonts w:ascii="Arial" w:hAnsi="Arial" w:cs="Arial"/>
          <w:color w:val="000000"/>
          <w:kern w:val="0"/>
          <w:sz w:val="18"/>
          <w:szCs w:val="18"/>
          <w14:ligatures w14:val="none"/>
        </w:rPr>
        <w:t>particular portion</w:t>
      </w:r>
      <w:proofErr w:type="gramEnd"/>
      <w:r w:rsidRPr="00C944BC">
        <w:rPr>
          <w:rFonts w:ascii="Arial" w:hAnsi="Arial" w:cs="Arial"/>
          <w:color w:val="000000"/>
          <w:kern w:val="0"/>
          <w:sz w:val="18"/>
          <w:szCs w:val="18"/>
          <w14:ligatures w14:val="none"/>
        </w:rPr>
        <w:t xml:space="preserve"> of that space will be used primarily to house servers. Note the total square footage of the building is 1.1 million square feet and </w:t>
      </w:r>
      <w:proofErr w:type="spellStart"/>
      <w:r w:rsidRPr="00C944BC">
        <w:rPr>
          <w:rFonts w:ascii="Arial" w:hAnsi="Arial" w:cs="Arial"/>
          <w:color w:val="000000"/>
          <w:kern w:val="0"/>
          <w:sz w:val="18"/>
          <w:szCs w:val="18"/>
          <w14:ligatures w14:val="none"/>
        </w:rPr>
        <w:t>Graphcore</w:t>
      </w:r>
      <w:proofErr w:type="spellEnd"/>
      <w:r w:rsidRPr="00C944BC">
        <w:rPr>
          <w:rFonts w:ascii="Arial" w:hAnsi="Arial" w:cs="Arial"/>
          <w:color w:val="000000"/>
          <w:kern w:val="0"/>
          <w:sz w:val="18"/>
          <w:szCs w:val="18"/>
          <w14:ligatures w14:val="none"/>
        </w:rPr>
        <w:t xml:space="preserve"> may only use the 234,000 square feet of the existing building which is under construction. This could allow for many more tenants. </w:t>
      </w:r>
    </w:p>
    <w:p w14:paraId="1AE38E22"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These are the questions we are asking the State to review.</w:t>
      </w:r>
    </w:p>
    <w:p w14:paraId="26D06520"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b/>
          <w:bCs/>
          <w:color w:val="000000"/>
          <w:kern w:val="0"/>
          <w:sz w:val="18"/>
          <w:szCs w:val="18"/>
          <w14:ligatures w14:val="none"/>
        </w:rPr>
        <w:lastRenderedPageBreak/>
        <w:t>We respectfully request that the Comptroller determine:</w:t>
      </w:r>
    </w:p>
    <w:p w14:paraId="23C44E00" w14:textId="77777777" w:rsidR="00C944BC" w:rsidRPr="00C944BC" w:rsidRDefault="00C944BC" w:rsidP="00C944BC">
      <w:pPr>
        <w:numPr>
          <w:ilvl w:val="0"/>
          <w:numId w:val="3"/>
        </w:numPr>
        <w:spacing w:before="240"/>
        <w:textAlignment w:val="baseline"/>
        <w:rPr>
          <w:rFonts w:ascii="Arial" w:hAnsi="Arial" w:cs="Arial"/>
          <w:b/>
          <w:bCs/>
          <w:color w:val="000000"/>
          <w:kern w:val="0"/>
          <w:sz w:val="15"/>
          <w:szCs w:val="15"/>
          <w14:ligatures w14:val="none"/>
        </w:rPr>
      </w:pPr>
      <w:r w:rsidRPr="00C944BC">
        <w:rPr>
          <w:rFonts w:ascii="Arial" w:hAnsi="Arial" w:cs="Arial"/>
          <w:b/>
          <w:bCs/>
          <w:color w:val="000000"/>
          <w:kern w:val="0"/>
          <w:sz w:val="18"/>
          <w:szCs w:val="18"/>
          <w14:ligatures w14:val="none"/>
        </w:rPr>
        <w:t xml:space="preserve">Whether SE Cosmos, LLC, SB Energy, </w:t>
      </w:r>
      <w:proofErr w:type="spellStart"/>
      <w:r w:rsidRPr="00C944BC">
        <w:rPr>
          <w:rFonts w:ascii="Arial" w:hAnsi="Arial" w:cs="Arial"/>
          <w:b/>
          <w:bCs/>
          <w:color w:val="000000"/>
          <w:kern w:val="0"/>
          <w:sz w:val="18"/>
          <w:szCs w:val="18"/>
          <w14:ligatures w14:val="none"/>
        </w:rPr>
        <w:t>Graphcore</w:t>
      </w:r>
      <w:proofErr w:type="spellEnd"/>
      <w:r w:rsidRPr="00C944BC">
        <w:rPr>
          <w:rFonts w:ascii="Arial" w:hAnsi="Arial" w:cs="Arial"/>
          <w:b/>
          <w:bCs/>
          <w:color w:val="000000"/>
          <w:kern w:val="0"/>
          <w:sz w:val="18"/>
          <w:szCs w:val="18"/>
          <w14:ligatures w14:val="none"/>
        </w:rPr>
        <w:t xml:space="preserve"> or any related owner, operator or occupant has applied for, requested, received or discussed certification or registration under Texas Tax Code §151.359 or §151.3595.</w:t>
      </w:r>
    </w:p>
    <w:p w14:paraId="3CF11384" w14:textId="77777777" w:rsidR="00C944BC" w:rsidRPr="00C944BC" w:rsidRDefault="00C944BC" w:rsidP="00C944BC">
      <w:pPr>
        <w:numPr>
          <w:ilvl w:val="0"/>
          <w:numId w:val="3"/>
        </w:numPr>
        <w:textAlignment w:val="baseline"/>
        <w:rPr>
          <w:rFonts w:ascii="Arial" w:hAnsi="Arial" w:cs="Arial"/>
          <w:b/>
          <w:bCs/>
          <w:color w:val="000000"/>
          <w:kern w:val="0"/>
          <w:sz w:val="15"/>
          <w:szCs w:val="15"/>
          <w14:ligatures w14:val="none"/>
        </w:rPr>
      </w:pPr>
      <w:r w:rsidRPr="00C944BC">
        <w:rPr>
          <w:rFonts w:ascii="Arial" w:hAnsi="Arial" w:cs="Arial"/>
          <w:b/>
          <w:bCs/>
          <w:color w:val="000000"/>
          <w:kern w:val="0"/>
          <w:sz w:val="18"/>
          <w:szCs w:val="18"/>
          <w14:ligatures w14:val="none"/>
        </w:rPr>
        <w:t>Whether any portion of the facility at 6801 River Place Boulevard is being specifically constructed or refurbished and intended to be used primarily to house servers and related equipment for the processing, storage or distribution of data.</w:t>
      </w:r>
    </w:p>
    <w:p w14:paraId="07868DAB" w14:textId="77777777" w:rsidR="00C944BC" w:rsidRPr="00C944BC" w:rsidRDefault="00C944BC" w:rsidP="00C944BC">
      <w:pPr>
        <w:numPr>
          <w:ilvl w:val="0"/>
          <w:numId w:val="3"/>
        </w:numPr>
        <w:textAlignment w:val="baseline"/>
        <w:rPr>
          <w:rFonts w:ascii="Arial" w:hAnsi="Arial" w:cs="Arial"/>
          <w:b/>
          <w:bCs/>
          <w:color w:val="000000"/>
          <w:kern w:val="0"/>
          <w:sz w:val="15"/>
          <w:szCs w:val="15"/>
          <w14:ligatures w14:val="none"/>
        </w:rPr>
      </w:pPr>
      <w:r w:rsidRPr="00C944BC">
        <w:rPr>
          <w:rFonts w:ascii="Arial" w:hAnsi="Arial" w:cs="Arial"/>
          <w:b/>
          <w:bCs/>
          <w:color w:val="000000"/>
          <w:kern w:val="0"/>
          <w:sz w:val="18"/>
          <w:szCs w:val="18"/>
          <w14:ligatures w14:val="none"/>
        </w:rPr>
        <w:t>Whether the project, based upon its actual planned use and infrastructure, meets or may meet the statutory definition of a “data center” under §151.359.</w:t>
      </w:r>
    </w:p>
    <w:p w14:paraId="4FF57D03" w14:textId="77777777" w:rsidR="00C944BC" w:rsidRPr="00C944BC" w:rsidRDefault="00C944BC" w:rsidP="00C944BC">
      <w:pPr>
        <w:numPr>
          <w:ilvl w:val="0"/>
          <w:numId w:val="3"/>
        </w:numPr>
        <w:textAlignment w:val="baseline"/>
        <w:rPr>
          <w:rFonts w:ascii="Arial" w:hAnsi="Arial" w:cs="Arial"/>
          <w:b/>
          <w:bCs/>
          <w:color w:val="000000"/>
          <w:kern w:val="0"/>
          <w:sz w:val="15"/>
          <w:szCs w:val="15"/>
          <w14:ligatures w14:val="none"/>
        </w:rPr>
      </w:pPr>
      <w:r w:rsidRPr="00C944BC">
        <w:rPr>
          <w:rFonts w:ascii="Arial" w:hAnsi="Arial" w:cs="Arial"/>
          <w:b/>
          <w:bCs/>
          <w:color w:val="000000"/>
          <w:kern w:val="0"/>
          <w:sz w:val="18"/>
          <w:szCs w:val="18"/>
          <w14:ligatures w14:val="none"/>
        </w:rPr>
        <w:t>Whether representations or filings made to the Comptroller concerning the project's use are consistent with the project's publicly stated use as an R&amp;D center.</w:t>
      </w:r>
    </w:p>
    <w:p w14:paraId="17C9B628" w14:textId="77777777" w:rsidR="00C944BC" w:rsidRPr="00C944BC" w:rsidRDefault="00C944BC" w:rsidP="00C944BC">
      <w:pPr>
        <w:numPr>
          <w:ilvl w:val="0"/>
          <w:numId w:val="3"/>
        </w:numPr>
        <w:spacing w:after="240"/>
        <w:textAlignment w:val="baseline"/>
        <w:rPr>
          <w:rFonts w:ascii="Arial" w:hAnsi="Arial" w:cs="Arial"/>
          <w:b/>
          <w:bCs/>
          <w:color w:val="000000"/>
          <w:kern w:val="0"/>
          <w:sz w:val="15"/>
          <w:szCs w:val="15"/>
          <w14:ligatures w14:val="none"/>
        </w:rPr>
      </w:pPr>
      <w:r w:rsidRPr="00C944BC">
        <w:rPr>
          <w:rFonts w:ascii="Arial" w:hAnsi="Arial" w:cs="Arial"/>
          <w:b/>
          <w:bCs/>
          <w:color w:val="000000"/>
          <w:kern w:val="0"/>
          <w:sz w:val="18"/>
          <w:szCs w:val="18"/>
          <w14:ligatures w14:val="none"/>
        </w:rPr>
        <w:t>Whether the State has received applications, certifications, tax-exemption requests or other filings relating to data-center activity at this address.</w:t>
      </w:r>
    </w:p>
    <w:p w14:paraId="305DDCBF"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 xml:space="preserve">We want to emphasize that we are not alleging that SE Cosmos, SB Energy, </w:t>
      </w:r>
      <w:proofErr w:type="spellStart"/>
      <w:r w:rsidRPr="00C944BC">
        <w:rPr>
          <w:rFonts w:ascii="Arial" w:hAnsi="Arial" w:cs="Arial"/>
          <w:color w:val="000000"/>
          <w:kern w:val="0"/>
          <w:sz w:val="18"/>
          <w:szCs w:val="18"/>
          <w14:ligatures w14:val="none"/>
        </w:rPr>
        <w:t>Graphcore</w:t>
      </w:r>
      <w:proofErr w:type="spellEnd"/>
      <w:r w:rsidRPr="00C944BC">
        <w:rPr>
          <w:rFonts w:ascii="Arial" w:hAnsi="Arial" w:cs="Arial"/>
          <w:color w:val="000000"/>
          <w:kern w:val="0"/>
          <w:sz w:val="18"/>
          <w:szCs w:val="18"/>
          <w14:ligatures w14:val="none"/>
        </w:rPr>
        <w:t xml:space="preserve"> or any other party has violated Texas law.</w:t>
      </w:r>
    </w:p>
    <w:p w14:paraId="1BEA586A"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b/>
          <w:bCs/>
          <w:color w:val="000000"/>
          <w:kern w:val="0"/>
          <w:sz w:val="18"/>
          <w:szCs w:val="18"/>
          <w14:ligatures w14:val="none"/>
        </w:rPr>
        <w:t>Nor are we suggesting that R&amp;D activity and data-center or high-performance-computing activity are necessarily mutually exclusive. </w:t>
      </w:r>
    </w:p>
    <w:p w14:paraId="084EA9DC"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 xml:space="preserve">Our concern is narrower: public statements describe this as an R&amp;D center, while an August 31, </w:t>
      </w:r>
      <w:proofErr w:type="gramStart"/>
      <w:r w:rsidRPr="00C944BC">
        <w:rPr>
          <w:rFonts w:ascii="Arial" w:hAnsi="Arial" w:cs="Arial"/>
          <w:color w:val="000000"/>
          <w:kern w:val="0"/>
          <w:sz w:val="18"/>
          <w:szCs w:val="18"/>
          <w14:ligatures w14:val="none"/>
        </w:rPr>
        <w:t>2026</w:t>
      </w:r>
      <w:proofErr w:type="gramEnd"/>
      <w:r w:rsidRPr="00C944BC">
        <w:rPr>
          <w:rFonts w:ascii="Arial" w:hAnsi="Arial" w:cs="Arial"/>
          <w:color w:val="000000"/>
          <w:kern w:val="0"/>
          <w:sz w:val="18"/>
          <w:szCs w:val="18"/>
          <w14:ligatures w14:val="none"/>
        </w:rPr>
        <w:t xml:space="preserve"> SEC-filed financing agreement repeatedly describes a “Data Center Campus,” a “Data Center Lease,” and the “data center project,” and counsel to the purchasers of the project's $999 million bond financing states that the proceeds will finance construction of a high-performance computing data center in Austin.[3]</w:t>
      </w:r>
    </w:p>
    <w:p w14:paraId="4CD71E1C"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b/>
          <w:bCs/>
          <w:color w:val="000000"/>
          <w:kern w:val="0"/>
          <w:sz w:val="18"/>
          <w:szCs w:val="18"/>
          <w14:ligatures w14:val="none"/>
        </w:rPr>
        <w:t>Those differences warrant clarification by the appropriate state agency.</w:t>
      </w:r>
    </w:p>
    <w:p w14:paraId="73AAF30F"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We respectfully ask the Comptroller to review the facility based upon its actual design, infrastructure and intended use rather than its descriptive label alone.</w:t>
      </w:r>
    </w:p>
    <w:p w14:paraId="003B6CF5"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If your office determines that this issue falls within the jurisdiction of another Texas agency, we would appreciate your referring this inquiry to that agency or advising us where it should be submitted.</w:t>
      </w:r>
    </w:p>
    <w:p w14:paraId="02CF92B4"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We are prepared to provide the relevant SEC filings, TDLR records, financing materials, City of Austin filings and public statements.</w:t>
      </w:r>
    </w:p>
    <w:p w14:paraId="703BB07F"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Thank you for your consideration. We would appreciate a written response concerning whether the facility has sought or received data-center certification or other treatment from your office and whether further review is appropriate.</w:t>
      </w:r>
    </w:p>
    <w:p w14:paraId="3CEEEDB0"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Sincerely,</w:t>
      </w:r>
    </w:p>
    <w:p w14:paraId="352152A1"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 xml:space="preserve">Linda Bailey </w:t>
      </w:r>
      <w:hyperlink r:id="rId15" w:history="1">
        <w:r w:rsidRPr="00C944BC">
          <w:rPr>
            <w:rFonts w:ascii="Arial" w:hAnsi="Arial" w:cs="Arial"/>
            <w:color w:val="1155CC"/>
            <w:kern w:val="0"/>
            <w:sz w:val="18"/>
            <w:szCs w:val="18"/>
            <w14:ligatures w14:val="none"/>
          </w:rPr>
          <w:t>lindabailey123@gmail.com</w:t>
        </w:r>
      </w:hyperlink>
      <w:r w:rsidRPr="00C944BC">
        <w:rPr>
          <w:rFonts w:ascii="Arial" w:hAnsi="Arial" w:cs="Arial"/>
          <w:color w:val="000000"/>
          <w:kern w:val="0"/>
          <w:sz w:val="18"/>
          <w:szCs w:val="18"/>
          <w14:ligatures w14:val="none"/>
        </w:rPr>
        <w:t>, 512-809-0171</w:t>
      </w:r>
    </w:p>
    <w:p w14:paraId="5A6BAE39"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br/>
      </w:r>
      <w:proofErr w:type="gramStart"/>
      <w:r w:rsidRPr="00C944BC">
        <w:rPr>
          <w:rFonts w:ascii="Arial" w:hAnsi="Arial" w:cs="Arial"/>
          <w:color w:val="000000"/>
          <w:kern w:val="0"/>
          <w:sz w:val="18"/>
          <w:szCs w:val="18"/>
          <w14:ligatures w14:val="none"/>
        </w:rPr>
        <w:t>PS</w:t>
      </w:r>
      <w:proofErr w:type="gramEnd"/>
      <w:r w:rsidRPr="00C944BC">
        <w:rPr>
          <w:rFonts w:ascii="Arial" w:hAnsi="Arial" w:cs="Arial"/>
          <w:color w:val="000000"/>
          <w:kern w:val="0"/>
          <w:sz w:val="18"/>
          <w:szCs w:val="18"/>
          <w14:ligatures w14:val="none"/>
        </w:rPr>
        <w:t xml:space="preserve"> Please route to the appropriate responsible staff person. </w:t>
      </w:r>
    </w:p>
    <w:p w14:paraId="7007A256"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FOOTNOTES</w:t>
      </w:r>
    </w:p>
    <w:p w14:paraId="6FEBB114"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5"/>
          <w:szCs w:val="15"/>
          <w14:ligatures w14:val="none"/>
        </w:rPr>
        <w:t xml:space="preserve">[1] Four Points News, “Breaking News: Newly named </w:t>
      </w:r>
      <w:proofErr w:type="spellStart"/>
      <w:r w:rsidRPr="00C944BC">
        <w:rPr>
          <w:rFonts w:ascii="Arial" w:hAnsi="Arial" w:cs="Arial"/>
          <w:color w:val="000000"/>
          <w:kern w:val="0"/>
          <w:sz w:val="15"/>
          <w:szCs w:val="15"/>
          <w14:ligatures w14:val="none"/>
        </w:rPr>
        <w:t>Graphcore</w:t>
      </w:r>
      <w:proofErr w:type="spellEnd"/>
      <w:r w:rsidRPr="00C944BC">
        <w:rPr>
          <w:rFonts w:ascii="Arial" w:hAnsi="Arial" w:cs="Arial"/>
          <w:color w:val="000000"/>
          <w:kern w:val="0"/>
          <w:sz w:val="15"/>
          <w:szCs w:val="15"/>
          <w14:ligatures w14:val="none"/>
        </w:rPr>
        <w:t xml:space="preserve"> is locating its U.S. engineering headquarters in Four Points at the former 3M site,” August 25, 2026. The article reports SB Energy's statement that the property remains planned as an R&amp;D center and is permitted as office and lab space.</w:t>
      </w:r>
      <w:r w:rsidRPr="00C944BC">
        <w:rPr>
          <w:rFonts w:ascii="Arial" w:hAnsi="Arial" w:cs="Arial"/>
          <w:color w:val="000000"/>
          <w:kern w:val="0"/>
          <w:sz w:val="15"/>
          <w:szCs w:val="15"/>
          <w14:ligatures w14:val="none"/>
        </w:rPr>
        <w:br/>
      </w:r>
      <w:hyperlink r:id="rId16" w:history="1">
        <w:r w:rsidRPr="00C944BC">
          <w:rPr>
            <w:rFonts w:ascii="Arial" w:hAnsi="Arial" w:cs="Arial"/>
            <w:color w:val="1155CC"/>
            <w:kern w:val="0"/>
            <w:sz w:val="15"/>
            <w:szCs w:val="15"/>
            <w14:ligatures w14:val="none"/>
          </w:rPr>
          <w:t>https://www.fourpointsnews.com/2026/08/25/sb-energy-names-tenant-for-former-3m-site-graphcore-which-is-locating-u-s-engineering-headquarters-in-four-points/</w:t>
        </w:r>
      </w:hyperlink>
    </w:p>
    <w:p w14:paraId="3FF5456D"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5"/>
          <w:szCs w:val="15"/>
          <w14:ligatures w14:val="none"/>
        </w:rPr>
        <w:t xml:space="preserve">[2] </w:t>
      </w:r>
      <w:proofErr w:type="spellStart"/>
      <w:r w:rsidRPr="00C944BC">
        <w:rPr>
          <w:rFonts w:ascii="Arial" w:hAnsi="Arial" w:cs="Arial"/>
          <w:color w:val="000000"/>
          <w:kern w:val="0"/>
          <w:sz w:val="15"/>
          <w:szCs w:val="15"/>
          <w14:ligatures w14:val="none"/>
        </w:rPr>
        <w:t>Graphcore</w:t>
      </w:r>
      <w:proofErr w:type="spellEnd"/>
      <w:r w:rsidRPr="00C944BC">
        <w:rPr>
          <w:rFonts w:ascii="Arial" w:hAnsi="Arial" w:cs="Arial"/>
          <w:color w:val="000000"/>
          <w:kern w:val="0"/>
          <w:sz w:val="15"/>
          <w:szCs w:val="15"/>
          <w14:ligatures w14:val="none"/>
        </w:rPr>
        <w:t xml:space="preserve">, “Contact </w:t>
      </w:r>
      <w:proofErr w:type="spellStart"/>
      <w:r w:rsidRPr="00C944BC">
        <w:rPr>
          <w:rFonts w:ascii="Arial" w:hAnsi="Arial" w:cs="Arial"/>
          <w:color w:val="000000"/>
          <w:kern w:val="0"/>
          <w:sz w:val="15"/>
          <w:szCs w:val="15"/>
          <w14:ligatures w14:val="none"/>
        </w:rPr>
        <w:t>Graphcore</w:t>
      </w:r>
      <w:proofErr w:type="spellEnd"/>
      <w:r w:rsidRPr="00C944BC">
        <w:rPr>
          <w:rFonts w:ascii="Arial" w:hAnsi="Arial" w:cs="Arial"/>
          <w:color w:val="000000"/>
          <w:kern w:val="0"/>
          <w:sz w:val="15"/>
          <w:szCs w:val="15"/>
          <w14:ligatures w14:val="none"/>
        </w:rPr>
        <w:t xml:space="preserve">.” </w:t>
      </w:r>
      <w:proofErr w:type="spellStart"/>
      <w:r w:rsidRPr="00C944BC">
        <w:rPr>
          <w:rFonts w:ascii="Arial" w:hAnsi="Arial" w:cs="Arial"/>
          <w:color w:val="000000"/>
          <w:kern w:val="0"/>
          <w:sz w:val="15"/>
          <w:szCs w:val="15"/>
          <w14:ligatures w14:val="none"/>
        </w:rPr>
        <w:t>Graphcore</w:t>
      </w:r>
      <w:proofErr w:type="spellEnd"/>
      <w:r w:rsidRPr="00C944BC">
        <w:rPr>
          <w:rFonts w:ascii="Arial" w:hAnsi="Arial" w:cs="Arial"/>
          <w:color w:val="000000"/>
          <w:kern w:val="0"/>
          <w:sz w:val="15"/>
          <w:szCs w:val="15"/>
          <w14:ligatures w14:val="none"/>
        </w:rPr>
        <w:t xml:space="preserve"> lists its Austin location as Highpoint Innovation Center, 6801 River Place Boulevard, Austin, Texas 78726.</w:t>
      </w:r>
      <w:r w:rsidRPr="00C944BC">
        <w:rPr>
          <w:rFonts w:ascii="Arial" w:hAnsi="Arial" w:cs="Arial"/>
          <w:color w:val="000000"/>
          <w:kern w:val="0"/>
          <w:sz w:val="15"/>
          <w:szCs w:val="15"/>
          <w14:ligatures w14:val="none"/>
        </w:rPr>
        <w:br/>
      </w:r>
      <w:hyperlink r:id="rId17" w:history="1">
        <w:r w:rsidRPr="00C944BC">
          <w:rPr>
            <w:rFonts w:ascii="Arial" w:hAnsi="Arial" w:cs="Arial"/>
            <w:color w:val="1155CC"/>
            <w:kern w:val="0"/>
            <w:sz w:val="15"/>
            <w:szCs w:val="15"/>
            <w14:ligatures w14:val="none"/>
          </w:rPr>
          <w:t>https://www.graphcore.ai/contact</w:t>
        </w:r>
      </w:hyperlink>
    </w:p>
    <w:p w14:paraId="3F75357F"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b/>
          <w:bCs/>
          <w:color w:val="000000"/>
          <w:kern w:val="0"/>
          <w:sz w:val="15"/>
          <w:szCs w:val="15"/>
          <w14:ligatures w14:val="none"/>
        </w:rPr>
        <w:t xml:space="preserve">[3] U.S. Securities and Exchange Commission, SE Cosmos, LLC, Indenture, dated May 7, 2026, relating to $999 million aggregate principal amount of 8.875% Senior Secured Notes due 2031. The agreement contains defined terms including “Data Center </w:t>
      </w:r>
      <w:r w:rsidRPr="00C944BC">
        <w:rPr>
          <w:rFonts w:ascii="Arial" w:hAnsi="Arial" w:cs="Arial"/>
          <w:b/>
          <w:bCs/>
          <w:color w:val="000000"/>
          <w:kern w:val="0"/>
          <w:sz w:val="15"/>
          <w:szCs w:val="15"/>
          <w14:ligatures w14:val="none"/>
        </w:rPr>
        <w:lastRenderedPageBreak/>
        <w:t>Campus,” “Data Center Lease,” and “Qualifying Data Center Lease”; defines the “Project” as the “data center project located in the Buildings”; and defines a “Qualified Operator” by reference to operational control of at least 50 MW of data centers in the United States.</w:t>
      </w:r>
      <w:r w:rsidRPr="00C944BC">
        <w:rPr>
          <w:rFonts w:ascii="Arial" w:hAnsi="Arial" w:cs="Arial"/>
          <w:b/>
          <w:bCs/>
          <w:color w:val="000000"/>
          <w:kern w:val="0"/>
          <w:sz w:val="15"/>
          <w:szCs w:val="15"/>
          <w14:ligatures w14:val="none"/>
        </w:rPr>
        <w:br/>
      </w:r>
      <w:hyperlink r:id="rId18" w:history="1">
        <w:r w:rsidRPr="00C944BC">
          <w:rPr>
            <w:rFonts w:ascii="Arial" w:hAnsi="Arial" w:cs="Arial"/>
            <w:b/>
            <w:bCs/>
            <w:color w:val="1155CC"/>
            <w:kern w:val="0"/>
            <w:sz w:val="15"/>
            <w:szCs w:val="15"/>
            <w14:ligatures w14:val="none"/>
          </w:rPr>
          <w:t>https://www.sec.gov/Archives/edgar/data/2133037/000162828026059639/exhibit102-</w:t>
        </w:r>
        <w:r w:rsidRPr="00C944BC">
          <w:rPr>
            <w:rFonts w:ascii="Arial" w:hAnsi="Arial" w:cs="Arial"/>
            <w:b/>
            <w:bCs/>
            <w:color w:val="000000"/>
            <w:kern w:val="0"/>
            <w:sz w:val="15"/>
            <w:szCs w:val="15"/>
            <w14:ligatures w14:val="none"/>
          </w:rPr>
          <w:t>indenturexcosmo</w:t>
        </w:r>
        <w:r w:rsidRPr="00C944BC">
          <w:rPr>
            <w:rFonts w:ascii="Arial" w:hAnsi="Arial" w:cs="Arial"/>
            <w:b/>
            <w:bCs/>
            <w:color w:val="1155CC"/>
            <w:kern w:val="0"/>
            <w:sz w:val="15"/>
            <w:szCs w:val="15"/>
            <w14:ligatures w14:val="none"/>
          </w:rPr>
          <w:t>.htm</w:t>
        </w:r>
      </w:hyperlink>
    </w:p>
    <w:p w14:paraId="0E922D3F"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5"/>
          <w:szCs w:val="15"/>
          <w14:ligatures w14:val="none"/>
        </w:rPr>
        <w:t>[4] Texas Department of Licensing and Regulation, Architectural Barriers Project No. TABS2026007469, “Cosmos,” Highpoint, 6801 River Place Boulevard, Austin. The filing reports 234,000 square feet, an estimated cost of $610 million, renovation/alteration work, structural reinforcement and modifications to MEP and IT systems.</w:t>
      </w:r>
      <w:r w:rsidRPr="00C944BC">
        <w:rPr>
          <w:rFonts w:ascii="Arial" w:hAnsi="Arial" w:cs="Arial"/>
          <w:color w:val="000000"/>
          <w:kern w:val="0"/>
          <w:sz w:val="15"/>
          <w:szCs w:val="15"/>
          <w14:ligatures w14:val="none"/>
        </w:rPr>
        <w:br/>
      </w:r>
      <w:hyperlink r:id="rId19" w:history="1">
        <w:r w:rsidRPr="00C944BC">
          <w:rPr>
            <w:rFonts w:ascii="Arial" w:hAnsi="Arial" w:cs="Arial"/>
            <w:color w:val="1155CC"/>
            <w:kern w:val="0"/>
            <w:sz w:val="15"/>
            <w:szCs w:val="15"/>
            <w14:ligatures w14:val="none"/>
          </w:rPr>
          <w:t>https://www.tdlr.texas.gov/TABS/Search/Project/TABS2026007469</w:t>
        </w:r>
      </w:hyperlink>
    </w:p>
    <w:p w14:paraId="18DE70C7"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5"/>
          <w:szCs w:val="15"/>
          <w14:ligatures w14:val="none"/>
        </w:rPr>
        <w:t xml:space="preserve">[5] Cahill Gordon &amp; Reindel LLP, “Cahill Represents Initial Purchasers in SE Cosmos, LLC's $999 Million Notes Offering,” May 7, 2026. Cahill states that </w:t>
      </w:r>
      <w:proofErr w:type="gramStart"/>
      <w:r w:rsidRPr="00C944BC">
        <w:rPr>
          <w:rFonts w:ascii="Arial" w:hAnsi="Arial" w:cs="Arial"/>
          <w:color w:val="000000"/>
          <w:kern w:val="0"/>
          <w:sz w:val="15"/>
          <w:szCs w:val="15"/>
          <w14:ligatures w14:val="none"/>
        </w:rPr>
        <w:t>proceeds</w:t>
      </w:r>
      <w:proofErr w:type="gramEnd"/>
      <w:r w:rsidRPr="00C944BC">
        <w:rPr>
          <w:rFonts w:ascii="Arial" w:hAnsi="Arial" w:cs="Arial"/>
          <w:color w:val="000000"/>
          <w:kern w:val="0"/>
          <w:sz w:val="15"/>
          <w:szCs w:val="15"/>
          <w14:ligatures w14:val="none"/>
        </w:rPr>
        <w:t xml:space="preserve"> from the offering will be used to finance construction of a “high-performance computing data center in Austin, Texas.”</w:t>
      </w:r>
      <w:r w:rsidRPr="00C944BC">
        <w:rPr>
          <w:rFonts w:ascii="Arial" w:hAnsi="Arial" w:cs="Arial"/>
          <w:color w:val="000000"/>
          <w:kern w:val="0"/>
          <w:sz w:val="15"/>
          <w:szCs w:val="15"/>
          <w14:ligatures w14:val="none"/>
        </w:rPr>
        <w:br/>
      </w:r>
      <w:hyperlink r:id="rId20" w:history="1">
        <w:r w:rsidRPr="00C944BC">
          <w:rPr>
            <w:rFonts w:ascii="Arial" w:hAnsi="Arial" w:cs="Arial"/>
            <w:color w:val="1155CC"/>
            <w:kern w:val="0"/>
            <w:sz w:val="15"/>
            <w:szCs w:val="15"/>
            <w14:ligatures w14:val="none"/>
          </w:rPr>
          <w:t>https://www.cahill.com/news/firm-news/2026-05-07-cahill-represents-initial-purchasers-in-se-cosmos-llcs-999-million-notes-offering</w:t>
        </w:r>
      </w:hyperlink>
    </w:p>
    <w:p w14:paraId="2899402F"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5"/>
          <w:szCs w:val="15"/>
          <w14:ligatures w14:val="none"/>
        </w:rPr>
        <w:t>[6] Texas Tax Code §151.359, “Property Used in Certain Data Centers; Temporary Exemption.” The statute defines “data center” and establishes the requirements for certification as a qualifying data center, including the 100,000-square-foot standard, qualifying use, infrastructure requirements, qualifying jobs and capital investment.</w:t>
      </w:r>
      <w:r w:rsidRPr="00C944BC">
        <w:rPr>
          <w:rFonts w:ascii="Arial" w:hAnsi="Arial" w:cs="Arial"/>
          <w:color w:val="000000"/>
          <w:kern w:val="0"/>
          <w:sz w:val="15"/>
          <w:szCs w:val="15"/>
          <w14:ligatures w14:val="none"/>
        </w:rPr>
        <w:br/>
      </w:r>
      <w:hyperlink r:id="rId21" w:anchor="151.359" w:history="1">
        <w:r w:rsidRPr="00C944BC">
          <w:rPr>
            <w:rFonts w:ascii="Arial" w:hAnsi="Arial" w:cs="Arial"/>
            <w:color w:val="1155CC"/>
            <w:kern w:val="0"/>
            <w:sz w:val="15"/>
            <w:szCs w:val="15"/>
            <w14:ligatures w14:val="none"/>
          </w:rPr>
          <w:t>https://statutes.capitol.texas.gov/Docs/TX/htm/TX.151.htm#151.359</w:t>
        </w:r>
      </w:hyperlink>
    </w:p>
    <w:p w14:paraId="1A402644"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5"/>
          <w:szCs w:val="15"/>
          <w14:ligatures w14:val="none"/>
        </w:rPr>
        <w:t>[7] Texas Comptroller of Public Accounts, “State Sales Tax Exemption for Qualifying Data Centers and Qualifying Large Data Center Projects.” The Comptroller describes the statutory certification criteria, including at least 100,000 square feet, primary use for servers and related equipment, at least 20 qualifying jobs and at least $200 million in capital investment.</w:t>
      </w:r>
      <w:r w:rsidRPr="00C944BC">
        <w:rPr>
          <w:rFonts w:ascii="Arial" w:hAnsi="Arial" w:cs="Arial"/>
          <w:color w:val="000000"/>
          <w:kern w:val="0"/>
          <w:sz w:val="15"/>
          <w:szCs w:val="15"/>
          <w14:ligatures w14:val="none"/>
        </w:rPr>
        <w:br/>
      </w:r>
      <w:hyperlink r:id="rId22" w:history="1">
        <w:r w:rsidRPr="00C944BC">
          <w:rPr>
            <w:rFonts w:ascii="Arial" w:hAnsi="Arial" w:cs="Arial"/>
            <w:color w:val="1155CC"/>
            <w:kern w:val="0"/>
            <w:sz w:val="15"/>
            <w:szCs w:val="15"/>
            <w14:ligatures w14:val="none"/>
          </w:rPr>
          <w:t>https://comptroller.texas.gov/taxes/data-centers/</w:t>
        </w:r>
      </w:hyperlink>
    </w:p>
    <w:p w14:paraId="2A08B45A"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5"/>
          <w:szCs w:val="15"/>
          <w14:ligatures w14:val="none"/>
        </w:rPr>
        <w:t xml:space="preserve">[8] SE Cosmos LLC is converting a former corporate R&amp;D facility in Austin, Texas into a R&amp;D technology center comprising 50-megawatt (MW) of critical IT load of rack development halls, silicon development bench spaces, and high-density powered lab halls, plus office, storage and related spaces in a five-story facility, including equipment yards and an ancillary parking area on the wider site. SoftBank will use these facilities for R&amp;D to support its AI technology development strategy. Cosmos is indirectly owned by SB Energy. </w:t>
      </w:r>
      <w:proofErr w:type="gramStart"/>
      <w:r w:rsidRPr="00C944BC">
        <w:rPr>
          <w:rFonts w:ascii="Arial" w:hAnsi="Arial" w:cs="Arial"/>
          <w:color w:val="000000"/>
          <w:kern w:val="0"/>
          <w:sz w:val="15"/>
          <w:szCs w:val="15"/>
          <w14:ligatures w14:val="none"/>
        </w:rPr>
        <w:t>…..</w:t>
      </w:r>
      <w:proofErr w:type="gramEnd"/>
      <w:r w:rsidRPr="00C944BC">
        <w:rPr>
          <w:rFonts w:ascii="Arial" w:hAnsi="Arial" w:cs="Arial"/>
          <w:color w:val="0A0A0A"/>
          <w:kern w:val="0"/>
          <w:sz w:val="15"/>
          <w:szCs w:val="15"/>
          <w:shd w:val="clear" w:color="auto" w:fill="FEFEFE"/>
          <w14:ligatures w14:val="none"/>
        </w:rPr>
        <w:t xml:space="preserve">The stable outlook reflects our expectation that the </w:t>
      </w:r>
      <w:r w:rsidRPr="00C944BC">
        <w:rPr>
          <w:rFonts w:ascii="Arial" w:hAnsi="Arial" w:cs="Arial"/>
          <w:b/>
          <w:bCs/>
          <w:color w:val="0A0A0A"/>
          <w:kern w:val="0"/>
          <w:sz w:val="15"/>
          <w:szCs w:val="15"/>
          <w:shd w:val="clear" w:color="auto" w:fill="FEFEFE"/>
          <w14:ligatures w14:val="none"/>
        </w:rPr>
        <w:t>data center w</w:t>
      </w:r>
      <w:r w:rsidRPr="00C944BC">
        <w:rPr>
          <w:rFonts w:ascii="Arial" w:hAnsi="Arial" w:cs="Arial"/>
          <w:color w:val="0A0A0A"/>
          <w:kern w:val="0"/>
          <w:sz w:val="15"/>
          <w:szCs w:val="15"/>
          <w:shd w:val="clear" w:color="auto" w:fill="FEFEFE"/>
          <w14:ligatures w14:val="none"/>
        </w:rPr>
        <w:t xml:space="preserve">ill be completed within budget and become operational on schedule. The project will benefit from steady contractual 3% annual revenue escalators and full operating cost pass-through under the triple-net lease. Additionally, we expect the project's DSCR will remain stable at about 1.15x following the bond </w:t>
      </w:r>
      <w:proofErr w:type="spellStart"/>
      <w:proofErr w:type="gramStart"/>
      <w:r w:rsidRPr="00C944BC">
        <w:rPr>
          <w:rFonts w:ascii="Arial" w:hAnsi="Arial" w:cs="Arial"/>
          <w:color w:val="0A0A0A"/>
          <w:kern w:val="0"/>
          <w:sz w:val="15"/>
          <w:szCs w:val="15"/>
          <w:shd w:val="clear" w:color="auto" w:fill="FEFEFE"/>
          <w14:ligatures w14:val="none"/>
        </w:rPr>
        <w:t>refinancing.The</w:t>
      </w:r>
      <w:proofErr w:type="spellEnd"/>
      <w:proofErr w:type="gramEnd"/>
      <w:r w:rsidRPr="00C944BC">
        <w:rPr>
          <w:rFonts w:ascii="Arial" w:hAnsi="Arial" w:cs="Arial"/>
          <w:color w:val="0A0A0A"/>
          <w:kern w:val="0"/>
          <w:sz w:val="15"/>
          <w:szCs w:val="15"/>
          <w:shd w:val="clear" w:color="auto" w:fill="FEFEFE"/>
          <w14:ligatures w14:val="none"/>
        </w:rPr>
        <w:t xml:space="preserve"> stable outlook reflects our expectation that the data center will be completed within budget and become operational on schedule. The project will benefit from steady contractual 3% annual revenue escalators and full operating cost pass-through under the triple-net lease. Additionally, we expect the project's DSCR will remain stable at about 1.15x following the bond refinancing. Also see </w:t>
      </w:r>
      <w:hyperlink r:id="rId23" w:history="1">
        <w:r w:rsidRPr="00C944BC">
          <w:rPr>
            <w:rFonts w:ascii="Arial" w:hAnsi="Arial" w:cs="Arial"/>
            <w:color w:val="0000FF"/>
            <w:kern w:val="0"/>
            <w:sz w:val="15"/>
            <w:szCs w:val="15"/>
            <w14:ligatures w14:val="none"/>
          </w:rPr>
          <w:t>https://www.spglobal.com/ratings/en/regulatory/article/-/view/type/HTML/id/3619002</w:t>
        </w:r>
      </w:hyperlink>
      <w:r w:rsidRPr="00C944BC">
        <w:rPr>
          <w:rFonts w:ascii="Arial" w:hAnsi="Arial" w:cs="Arial"/>
          <w:color w:val="1155CC"/>
          <w:kern w:val="0"/>
          <w:sz w:val="15"/>
          <w:szCs w:val="15"/>
          <w14:ligatures w14:val="none"/>
        </w:rPr>
        <w:t>L</w:t>
      </w:r>
    </w:p>
    <w:p w14:paraId="2AFBBCA2" w14:textId="77777777" w:rsidR="00C944BC" w:rsidRPr="00C944BC" w:rsidRDefault="00C944BC" w:rsidP="00C944BC">
      <w:pPr>
        <w:rPr>
          <w:rFonts w:ascii="Times New Roman" w:hAnsi="Times New Roman" w:cs="Times New Roman"/>
          <w:kern w:val="0"/>
          <w14:ligatures w14:val="none"/>
        </w:rPr>
      </w:pPr>
      <w:r w:rsidRPr="00C944BC">
        <w:rPr>
          <w:rFonts w:ascii="Helvetica" w:hAnsi="Helvetica" w:cs="Times New Roman"/>
          <w:color w:val="000000"/>
          <w:kern w:val="0"/>
          <w:sz w:val="15"/>
          <w:szCs w:val="15"/>
          <w14:ligatures w14:val="none"/>
        </w:rPr>
        <w:br/>
      </w:r>
      <w:r w:rsidRPr="00C944BC">
        <w:rPr>
          <w:rFonts w:ascii="Helvetica" w:hAnsi="Helvetica" w:cs="Times New Roman"/>
          <w:i/>
          <w:iCs/>
          <w:color w:val="000000"/>
          <w:kern w:val="0"/>
          <w:sz w:val="15"/>
          <w:szCs w:val="15"/>
          <w14:ligatures w14:val="none"/>
        </w:rPr>
        <w:t>Linda Bailey</w:t>
      </w:r>
    </w:p>
    <w:p w14:paraId="168067D3" w14:textId="77777777" w:rsidR="00C944BC" w:rsidRPr="00C944BC" w:rsidRDefault="00C944BC" w:rsidP="00C944BC">
      <w:pPr>
        <w:rPr>
          <w:rFonts w:ascii="Helvetica" w:hAnsi="Helvetica" w:cs="Times New Roman"/>
          <w:color w:val="000000"/>
          <w:kern w:val="0"/>
          <w:sz w:val="15"/>
          <w:szCs w:val="15"/>
          <w14:ligatures w14:val="none"/>
        </w:rPr>
      </w:pPr>
      <w:hyperlink r:id="rId24" w:history="1">
        <w:r w:rsidRPr="00C944BC">
          <w:rPr>
            <w:rFonts w:ascii="Helvetica" w:hAnsi="Helvetica" w:cs="Times New Roman"/>
            <w:color w:val="0000FF"/>
            <w:kern w:val="0"/>
            <w:sz w:val="15"/>
            <w:szCs w:val="15"/>
            <w:u w:val="single"/>
            <w14:ligatures w14:val="none"/>
          </w:rPr>
          <w:t>lindabailey123@gmail.com</w:t>
        </w:r>
      </w:hyperlink>
    </w:p>
    <w:p w14:paraId="1144C66E" w14:textId="77777777" w:rsidR="00794C7C" w:rsidRDefault="00794C7C"/>
    <w:p w14:paraId="54CF6DEF" w14:textId="77777777" w:rsidR="00C944BC" w:rsidRDefault="00C944BC"/>
    <w:p w14:paraId="438AD53D" w14:textId="77777777" w:rsidR="00C944BC" w:rsidRDefault="00C944BC"/>
    <w:p w14:paraId="282E529B" w14:textId="77777777" w:rsidR="00C944BC" w:rsidRDefault="00C944BC"/>
    <w:p w14:paraId="3ADB19D8" w14:textId="77777777" w:rsidR="00C944BC" w:rsidRDefault="00C944BC"/>
    <w:p w14:paraId="50431682" w14:textId="2EEEE6FE" w:rsidR="00C944BC" w:rsidRDefault="00C944BC">
      <w:r w:rsidRPr="00C944BC">
        <w:drawing>
          <wp:inline distT="0" distB="0" distL="0" distR="0" wp14:anchorId="1E205F17" wp14:editId="24EB291A">
            <wp:extent cx="5943600" cy="652145"/>
            <wp:effectExtent l="0" t="0" r="0" b="0"/>
            <wp:docPr id="1610953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53499" name=""/>
                    <pic:cNvPicPr/>
                  </pic:nvPicPr>
                  <pic:blipFill>
                    <a:blip r:embed="rId25"/>
                    <a:stretch>
                      <a:fillRect/>
                    </a:stretch>
                  </pic:blipFill>
                  <pic:spPr>
                    <a:xfrm>
                      <a:off x="0" y="0"/>
                      <a:ext cx="5943600" cy="652145"/>
                    </a:xfrm>
                    <a:prstGeom prst="rect">
                      <a:avLst/>
                    </a:prstGeom>
                  </pic:spPr>
                </pic:pic>
              </a:graphicData>
            </a:graphic>
          </wp:inline>
        </w:drawing>
      </w:r>
    </w:p>
    <w:p w14:paraId="3822DE2E" w14:textId="77777777" w:rsidR="00C944BC" w:rsidRDefault="00C944BC"/>
    <w:p w14:paraId="50F97BB7" w14:textId="77777777" w:rsidR="00C944BC" w:rsidRDefault="00C944BC"/>
    <w:p w14:paraId="6B93BACC"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b/>
          <w:bCs/>
          <w:color w:val="000000"/>
          <w:kern w:val="0"/>
          <w:sz w:val="22"/>
          <w:szCs w:val="22"/>
          <w14:ligatures w14:val="none"/>
        </w:rPr>
        <w:t xml:space="preserve">Texas Department of Licensing and Regulation </w:t>
      </w:r>
      <w:r w:rsidRPr="00C944BC">
        <w:rPr>
          <w:rFonts w:ascii="Arial" w:hAnsi="Arial" w:cs="Arial"/>
          <w:b/>
          <w:bCs/>
          <w:color w:val="000000"/>
          <w:kern w:val="0"/>
          <w:sz w:val="22"/>
          <w:szCs w:val="22"/>
          <w14:ligatures w14:val="none"/>
        </w:rPr>
        <w:br/>
        <w:t>Architectural Barriers Program</w:t>
      </w:r>
    </w:p>
    <w:p w14:paraId="1D721242"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Re: Request for Review of TABS Project No. TABS2026007469 — “Cosmos,” 6801 River Place Boulevard, Austin, Texas</w:t>
      </w:r>
    </w:p>
    <w:p w14:paraId="3C3321E7"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Dear Texas Department of Licensing and Regulation:</w:t>
      </w:r>
    </w:p>
    <w:p w14:paraId="10A8700A"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lastRenderedPageBreak/>
        <w:t>I am writing to request review of TDLR Architectural Barriers Project No. TABS2026007469, identified as “Cosmos,” at 6801 River Place Boulevard in Austin.</w:t>
      </w:r>
    </w:p>
    <w:p w14:paraId="28DEF04C"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The TDLR project record describes a substantial renovation of the former 3M campus. According to the filing, the project involves approximately 234,000 square feet of work (out of the 1.1 million sq feet available in the building), an estimated construction cost of $610 million, structural reinforcement, and modifications to mechanical, electrical, plumbing and IT systems.[1]</w:t>
      </w:r>
    </w:p>
    <w:p w14:paraId="0BB56416"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Public statements concerning the project, however, differ from descriptions contained in financial documents associated with the same property.</w:t>
      </w:r>
    </w:p>
    <w:p w14:paraId="48CD569D"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 xml:space="preserve">The project has been publicly described by SB Energy as an R&amp;D center. Four Points News reported on August 25, </w:t>
      </w:r>
      <w:proofErr w:type="gramStart"/>
      <w:r w:rsidRPr="00C944BC">
        <w:rPr>
          <w:rFonts w:ascii="Arial" w:hAnsi="Arial" w:cs="Arial"/>
          <w:color w:val="000000"/>
          <w:kern w:val="0"/>
          <w:sz w:val="22"/>
          <w:szCs w:val="22"/>
          <w14:ligatures w14:val="none"/>
        </w:rPr>
        <w:t>2026</w:t>
      </w:r>
      <w:proofErr w:type="gramEnd"/>
      <w:r w:rsidRPr="00C944BC">
        <w:rPr>
          <w:rFonts w:ascii="Arial" w:hAnsi="Arial" w:cs="Arial"/>
          <w:color w:val="000000"/>
          <w:kern w:val="0"/>
          <w:sz w:val="22"/>
          <w:szCs w:val="22"/>
          <w14:ligatures w14:val="none"/>
        </w:rPr>
        <w:t xml:space="preserve"> that an SB Energy representative said the property “still remains planned as an R&amp;D Center” and is permitted locally as office and laboratory space.[2]</w:t>
      </w:r>
    </w:p>
    <w:p w14:paraId="0880AED6"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At the same time, financing documents filed with the U.S. Securities and Exchange Commission by SE Cosmos, LLC repeatedly describe the project using data-center terminology.</w:t>
      </w:r>
    </w:p>
    <w:p w14:paraId="4BC00D80"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 xml:space="preserve">The May 7, </w:t>
      </w:r>
      <w:proofErr w:type="gramStart"/>
      <w:r w:rsidRPr="00C944BC">
        <w:rPr>
          <w:rFonts w:ascii="Arial" w:hAnsi="Arial" w:cs="Arial"/>
          <w:color w:val="000000"/>
          <w:kern w:val="0"/>
          <w:sz w:val="22"/>
          <w:szCs w:val="22"/>
          <w14:ligatures w14:val="none"/>
        </w:rPr>
        <w:t>2026</w:t>
      </w:r>
      <w:proofErr w:type="gramEnd"/>
      <w:r w:rsidRPr="00C944BC">
        <w:rPr>
          <w:rFonts w:ascii="Arial" w:hAnsi="Arial" w:cs="Arial"/>
          <w:color w:val="000000"/>
          <w:kern w:val="0"/>
          <w:sz w:val="22"/>
          <w:szCs w:val="22"/>
          <w14:ligatures w14:val="none"/>
        </w:rPr>
        <w:t xml:space="preserve"> SE Cosmos indenture uses defined terms including:</w:t>
      </w:r>
    </w:p>
    <w:p w14:paraId="21D2C576"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 “Data Center Campus”;</w:t>
      </w:r>
    </w:p>
    <w:p w14:paraId="2DEE112A"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 “Data Center Lease”;</w:t>
      </w:r>
    </w:p>
    <w:p w14:paraId="2115552C"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 “Qualifying Data Center Lease”; and</w:t>
      </w:r>
    </w:p>
    <w:p w14:paraId="4A713574"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 xml:space="preserve">• “Project,” which is defined as the “data center project located in the </w:t>
      </w:r>
      <w:proofErr w:type="gramStart"/>
      <w:r w:rsidRPr="00C944BC">
        <w:rPr>
          <w:rFonts w:ascii="Arial" w:hAnsi="Arial" w:cs="Arial"/>
          <w:color w:val="000000"/>
          <w:kern w:val="0"/>
          <w:sz w:val="22"/>
          <w:szCs w:val="22"/>
          <w14:ligatures w14:val="none"/>
        </w:rPr>
        <w:t>Buildings.”[</w:t>
      </w:r>
      <w:proofErr w:type="gramEnd"/>
      <w:r w:rsidRPr="00C944BC">
        <w:rPr>
          <w:rFonts w:ascii="Arial" w:hAnsi="Arial" w:cs="Arial"/>
          <w:color w:val="000000"/>
          <w:kern w:val="0"/>
          <w:sz w:val="22"/>
          <w:szCs w:val="22"/>
          <w14:ligatures w14:val="none"/>
        </w:rPr>
        <w:t>3]</w:t>
      </w:r>
    </w:p>
    <w:p w14:paraId="741C6D04"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The same document defines a “Qualified Operator” in part by reference to operational control over at least 50 MW of data centers in the United States.[3]</w:t>
      </w:r>
    </w:p>
    <w:p w14:paraId="018F3668"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In addition, the law firm representing the initial purchasers in SE Cosmos, LLC's $999 million senior secured notes offering stated that the proceeds from the financing would be used to finance construction of a “high-performance computing data center in Austin, Texas</w:t>
      </w:r>
      <w:proofErr w:type="gramStart"/>
      <w:r w:rsidRPr="00C944BC">
        <w:rPr>
          <w:rFonts w:ascii="Arial" w:hAnsi="Arial" w:cs="Arial"/>
          <w:color w:val="000000"/>
          <w:kern w:val="0"/>
          <w:sz w:val="22"/>
          <w:szCs w:val="22"/>
          <w14:ligatures w14:val="none"/>
        </w:rPr>
        <w:t>.”[</w:t>
      </w:r>
      <w:proofErr w:type="gramEnd"/>
      <w:r w:rsidRPr="00C944BC">
        <w:rPr>
          <w:rFonts w:ascii="Arial" w:hAnsi="Arial" w:cs="Arial"/>
          <w:color w:val="000000"/>
          <w:kern w:val="0"/>
          <w:sz w:val="22"/>
          <w:szCs w:val="22"/>
          <w14:ligatures w14:val="none"/>
        </w:rPr>
        <w:t>4] [5]</w:t>
      </w:r>
    </w:p>
    <w:p w14:paraId="6E26E24F"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We recognize that these financial descriptions do not, standing alone, determine the appropriate building classification, occupancy classification, accessibility review, zoning classification or other regulatory treatment of the facility.</w:t>
      </w:r>
    </w:p>
    <w:p w14:paraId="64C4E92F"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We also recognize that research-and-development activity and high-performance computing activity may occur within the same facility.</w:t>
      </w:r>
    </w:p>
    <w:p w14:paraId="71329872"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However, the difference between the project's public description as an R&amp;D center and its description in major financing documents as a data center project raises reasonable questions about whether the information provided in connection with the TDLR filing fully and accurately describes the nature and intended use of the work being constructed.</w:t>
      </w:r>
    </w:p>
    <w:p w14:paraId="3D0F4E97"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We therefore respectfully request that TDLR review Project No. TABS2026007469 and determine:</w:t>
      </w:r>
    </w:p>
    <w:p w14:paraId="0F46D664" w14:textId="77777777" w:rsidR="00C944BC" w:rsidRPr="00C944BC" w:rsidRDefault="00C944BC" w:rsidP="00C944BC">
      <w:pPr>
        <w:numPr>
          <w:ilvl w:val="0"/>
          <w:numId w:val="4"/>
        </w:numPr>
        <w:spacing w:before="240"/>
        <w:textAlignment w:val="baseline"/>
        <w:rPr>
          <w:rFonts w:ascii="Arial" w:hAnsi="Arial" w:cs="Arial"/>
          <w:b/>
          <w:bCs/>
          <w:color w:val="000000"/>
          <w:kern w:val="0"/>
          <w:sz w:val="22"/>
          <w:szCs w:val="22"/>
          <w14:ligatures w14:val="none"/>
        </w:rPr>
      </w:pPr>
      <w:r w:rsidRPr="00C944BC">
        <w:rPr>
          <w:rFonts w:ascii="Arial" w:hAnsi="Arial" w:cs="Arial"/>
          <w:b/>
          <w:bCs/>
          <w:color w:val="000000"/>
          <w:kern w:val="0"/>
          <w:sz w:val="22"/>
          <w:szCs w:val="22"/>
          <w14:ligatures w14:val="none"/>
        </w:rPr>
        <w:lastRenderedPageBreak/>
        <w:t>What occupancy or use classification was provided to TDLR for the Cosmos project at 6801 River Place Boulevard.</w:t>
      </w:r>
    </w:p>
    <w:p w14:paraId="2B9B8482" w14:textId="77777777" w:rsidR="00C944BC" w:rsidRPr="00C944BC" w:rsidRDefault="00C944BC" w:rsidP="00C944BC">
      <w:pPr>
        <w:numPr>
          <w:ilvl w:val="0"/>
          <w:numId w:val="4"/>
        </w:numPr>
        <w:textAlignment w:val="baseline"/>
        <w:rPr>
          <w:rFonts w:ascii="Arial" w:hAnsi="Arial" w:cs="Arial"/>
          <w:b/>
          <w:bCs/>
          <w:color w:val="000000"/>
          <w:kern w:val="0"/>
          <w:sz w:val="22"/>
          <w:szCs w:val="22"/>
          <w14:ligatures w14:val="none"/>
        </w:rPr>
      </w:pPr>
      <w:r w:rsidRPr="00C944BC">
        <w:rPr>
          <w:rFonts w:ascii="Arial" w:hAnsi="Arial" w:cs="Arial"/>
          <w:b/>
          <w:bCs/>
          <w:color w:val="000000"/>
          <w:kern w:val="0"/>
          <w:sz w:val="22"/>
          <w:szCs w:val="22"/>
          <w14:ligatures w14:val="none"/>
        </w:rPr>
        <w:t xml:space="preserve">Whether the project was submitted to TDLR as office, laboratory, research-and-development, </w:t>
      </w:r>
      <w:proofErr w:type="gramStart"/>
      <w:r w:rsidRPr="00C944BC">
        <w:rPr>
          <w:rFonts w:ascii="Arial" w:hAnsi="Arial" w:cs="Arial"/>
          <w:b/>
          <w:bCs/>
          <w:color w:val="000000"/>
          <w:kern w:val="0"/>
          <w:sz w:val="22"/>
          <w:szCs w:val="22"/>
          <w14:ligatures w14:val="none"/>
        </w:rPr>
        <w:t>data-center</w:t>
      </w:r>
      <w:proofErr w:type="gramEnd"/>
      <w:r w:rsidRPr="00C944BC">
        <w:rPr>
          <w:rFonts w:ascii="Arial" w:hAnsi="Arial" w:cs="Arial"/>
          <w:b/>
          <w:bCs/>
          <w:color w:val="000000"/>
          <w:kern w:val="0"/>
          <w:sz w:val="22"/>
          <w:szCs w:val="22"/>
          <w14:ligatures w14:val="none"/>
        </w:rPr>
        <w:t>, industrial, equipment, or another type of use.</w:t>
      </w:r>
    </w:p>
    <w:p w14:paraId="08374253" w14:textId="77777777" w:rsidR="00C944BC" w:rsidRPr="00C944BC" w:rsidRDefault="00C944BC" w:rsidP="00C944BC">
      <w:pPr>
        <w:numPr>
          <w:ilvl w:val="0"/>
          <w:numId w:val="4"/>
        </w:numPr>
        <w:textAlignment w:val="baseline"/>
        <w:rPr>
          <w:rFonts w:ascii="Arial" w:hAnsi="Arial" w:cs="Arial"/>
          <w:b/>
          <w:bCs/>
          <w:color w:val="000000"/>
          <w:kern w:val="0"/>
          <w:sz w:val="22"/>
          <w:szCs w:val="22"/>
          <w14:ligatures w14:val="none"/>
        </w:rPr>
      </w:pPr>
      <w:r w:rsidRPr="00C944BC">
        <w:rPr>
          <w:rFonts w:ascii="Arial" w:hAnsi="Arial" w:cs="Arial"/>
          <w:b/>
          <w:bCs/>
          <w:color w:val="000000"/>
          <w:kern w:val="0"/>
          <w:sz w:val="22"/>
          <w:szCs w:val="22"/>
          <w14:ligatures w14:val="none"/>
        </w:rPr>
        <w:t>Whether the stated scope of work accurately reflects the areas being renovated for high-performance computing, servers, electrical equipment, cooling infrastructure, backup power or other equipment associated with data-center operations.</w:t>
      </w:r>
    </w:p>
    <w:p w14:paraId="4AF82E7D" w14:textId="77777777" w:rsidR="00C944BC" w:rsidRPr="00C944BC" w:rsidRDefault="00C944BC" w:rsidP="00C944BC">
      <w:pPr>
        <w:numPr>
          <w:ilvl w:val="0"/>
          <w:numId w:val="4"/>
        </w:numPr>
        <w:textAlignment w:val="baseline"/>
        <w:rPr>
          <w:rFonts w:ascii="Arial" w:hAnsi="Arial" w:cs="Arial"/>
          <w:b/>
          <w:bCs/>
          <w:color w:val="000000"/>
          <w:kern w:val="0"/>
          <w:sz w:val="22"/>
          <w:szCs w:val="22"/>
          <w14:ligatures w14:val="none"/>
        </w:rPr>
      </w:pPr>
      <w:r w:rsidRPr="00C944BC">
        <w:rPr>
          <w:rFonts w:ascii="Arial" w:hAnsi="Arial" w:cs="Arial"/>
          <w:b/>
          <w:bCs/>
          <w:color w:val="000000"/>
          <w:kern w:val="0"/>
          <w:sz w:val="22"/>
          <w:szCs w:val="22"/>
          <w14:ligatures w14:val="none"/>
        </w:rPr>
        <w:t>Whether a material change in the actual intended use of the facility would require the owner, tenant, architect or other responsible party to amend or supplement the TDLR project filing.</w:t>
      </w:r>
    </w:p>
    <w:p w14:paraId="2E1C3E10" w14:textId="77777777" w:rsidR="00C944BC" w:rsidRPr="00C944BC" w:rsidRDefault="00C944BC" w:rsidP="00C944BC">
      <w:pPr>
        <w:numPr>
          <w:ilvl w:val="0"/>
          <w:numId w:val="4"/>
        </w:numPr>
        <w:textAlignment w:val="baseline"/>
        <w:rPr>
          <w:rFonts w:ascii="Arial" w:hAnsi="Arial" w:cs="Arial"/>
          <w:b/>
          <w:bCs/>
          <w:color w:val="000000"/>
          <w:kern w:val="0"/>
          <w:sz w:val="22"/>
          <w:szCs w:val="22"/>
          <w14:ligatures w14:val="none"/>
        </w:rPr>
      </w:pPr>
      <w:r w:rsidRPr="00C944BC">
        <w:rPr>
          <w:rFonts w:ascii="Arial" w:hAnsi="Arial" w:cs="Arial"/>
          <w:b/>
          <w:bCs/>
          <w:color w:val="000000"/>
          <w:kern w:val="0"/>
          <w:sz w:val="22"/>
          <w:szCs w:val="22"/>
          <w14:ligatures w14:val="none"/>
        </w:rPr>
        <w:t>Whether TDLR has received revised plans, supplemental filings, changes in scope or other information concerning the intended use of the project since TABS2026007469 was initially filed.</w:t>
      </w:r>
    </w:p>
    <w:p w14:paraId="0C85BEB0" w14:textId="77777777" w:rsidR="00C944BC" w:rsidRPr="00C944BC" w:rsidRDefault="00C944BC" w:rsidP="00C944BC">
      <w:pPr>
        <w:numPr>
          <w:ilvl w:val="0"/>
          <w:numId w:val="4"/>
        </w:numPr>
        <w:spacing w:after="240"/>
        <w:textAlignment w:val="baseline"/>
        <w:rPr>
          <w:rFonts w:ascii="Arial" w:hAnsi="Arial" w:cs="Arial"/>
          <w:b/>
          <w:bCs/>
          <w:color w:val="000000"/>
          <w:kern w:val="0"/>
          <w:sz w:val="22"/>
          <w:szCs w:val="22"/>
          <w14:ligatures w14:val="none"/>
        </w:rPr>
      </w:pPr>
      <w:r w:rsidRPr="00C944BC">
        <w:rPr>
          <w:rFonts w:ascii="Arial" w:hAnsi="Arial" w:cs="Arial"/>
          <w:b/>
          <w:bCs/>
          <w:color w:val="000000"/>
          <w:kern w:val="0"/>
          <w:sz w:val="22"/>
          <w:szCs w:val="22"/>
          <w14:ligatures w14:val="none"/>
        </w:rPr>
        <w:t>Whether the description of the project provided to TDLR is consistent with the construction plans submitted for accessibility review.</w:t>
      </w:r>
    </w:p>
    <w:p w14:paraId="01F1155F"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We are not alleging that the owner, developer, tenant, architect or other party has violated TDLR requirements.</w:t>
      </w:r>
    </w:p>
    <w:p w14:paraId="18CD902A"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 xml:space="preserve">Rather, we are asking TDLR to determine whether the filing accurately reflects the project that is </w:t>
      </w:r>
      <w:proofErr w:type="gramStart"/>
      <w:r w:rsidRPr="00C944BC">
        <w:rPr>
          <w:rFonts w:ascii="Arial" w:hAnsi="Arial" w:cs="Arial"/>
          <w:color w:val="000000"/>
          <w:kern w:val="0"/>
          <w:sz w:val="22"/>
          <w:szCs w:val="22"/>
          <w14:ligatures w14:val="none"/>
        </w:rPr>
        <w:t>actually being</w:t>
      </w:r>
      <w:proofErr w:type="gramEnd"/>
      <w:r w:rsidRPr="00C944BC">
        <w:rPr>
          <w:rFonts w:ascii="Arial" w:hAnsi="Arial" w:cs="Arial"/>
          <w:color w:val="000000"/>
          <w:kern w:val="0"/>
          <w:sz w:val="22"/>
          <w:szCs w:val="22"/>
          <w14:ligatures w14:val="none"/>
        </w:rPr>
        <w:t xml:space="preserve"> constructed.</w:t>
      </w:r>
    </w:p>
    <w:p w14:paraId="21206D02"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The scale of the project makes this review particularly appropriate. TDLR's own record identifies approximately 234,000 square feet of renovation and an estimated construction cost of $610 million.[1] The SEC-filed financing agreement, meanwhile, expressly defines the financed project as a “data center project</w:t>
      </w:r>
      <w:proofErr w:type="gramStart"/>
      <w:r w:rsidRPr="00C944BC">
        <w:rPr>
          <w:rFonts w:ascii="Arial" w:hAnsi="Arial" w:cs="Arial"/>
          <w:color w:val="000000"/>
          <w:kern w:val="0"/>
          <w:sz w:val="22"/>
          <w:szCs w:val="22"/>
          <w14:ligatures w14:val="none"/>
        </w:rPr>
        <w:t>.”[</w:t>
      </w:r>
      <w:proofErr w:type="gramEnd"/>
      <w:r w:rsidRPr="00C944BC">
        <w:rPr>
          <w:rFonts w:ascii="Arial" w:hAnsi="Arial" w:cs="Arial"/>
          <w:color w:val="000000"/>
          <w:kern w:val="0"/>
          <w:sz w:val="22"/>
          <w:szCs w:val="22"/>
          <w14:ligatures w14:val="none"/>
        </w:rPr>
        <w:t>3]</w:t>
      </w:r>
    </w:p>
    <w:p w14:paraId="7402B6B9"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An accurate description of a project of this scale is important to state and local officials as well as the surrounding community.</w:t>
      </w:r>
    </w:p>
    <w:p w14:paraId="2728BE9C"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If TDLR's jurisdiction is limited to accessibility compliance and does not extend to determining whether the facility is properly characterized as an R&amp;D center or data center, we would appreciate clarification regarding:</w:t>
      </w:r>
    </w:p>
    <w:p w14:paraId="6125339F" w14:textId="77777777" w:rsidR="00C944BC" w:rsidRPr="00C944BC" w:rsidRDefault="00C944BC" w:rsidP="00C944BC">
      <w:pPr>
        <w:spacing w:before="240" w:after="240"/>
        <w:ind w:left="72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 xml:space="preserve">• </w:t>
      </w:r>
      <w:r w:rsidRPr="00C944BC">
        <w:rPr>
          <w:rFonts w:ascii="Arial" w:hAnsi="Arial" w:cs="Arial"/>
          <w:b/>
          <w:bCs/>
          <w:color w:val="000000"/>
          <w:kern w:val="0"/>
          <w:sz w:val="22"/>
          <w:szCs w:val="22"/>
          <w14:ligatures w14:val="none"/>
        </w:rPr>
        <w:t>what information TDLR requires concerning a project's occupancy and intended use;</w:t>
      </w:r>
      <w:r w:rsidRPr="00C944BC">
        <w:rPr>
          <w:rFonts w:ascii="Arial" w:hAnsi="Arial" w:cs="Arial"/>
          <w:b/>
          <w:bCs/>
          <w:color w:val="000000"/>
          <w:kern w:val="0"/>
          <w:sz w:val="22"/>
          <w:szCs w:val="22"/>
          <w14:ligatures w14:val="none"/>
        </w:rPr>
        <w:br/>
        <w:t>• whether that information must remain accurate if the project's intended use changes; and</w:t>
      </w:r>
      <w:r w:rsidRPr="00C944BC">
        <w:rPr>
          <w:rFonts w:ascii="Arial" w:hAnsi="Arial" w:cs="Arial"/>
          <w:b/>
          <w:bCs/>
          <w:color w:val="000000"/>
          <w:kern w:val="0"/>
          <w:sz w:val="22"/>
          <w:szCs w:val="22"/>
          <w14:ligatures w14:val="none"/>
        </w:rPr>
        <w:br/>
        <w:t>• which state or local agency would be responsible for reviewing a material discrepancy between the stated use and actual use of the facility.</w:t>
      </w:r>
    </w:p>
    <w:p w14:paraId="6B3A4981"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We would be pleased to provide the SEC financing documents, public statements concerning the project, City of Austin records and any other relevant information.</w:t>
      </w:r>
    </w:p>
    <w:p w14:paraId="3622C589"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Thank you for your consideration. We respectfully request a written response explaining whether TDLR will review the existing filing and whether any additional information should be submitted.</w:t>
      </w:r>
    </w:p>
    <w:p w14:paraId="6F00F35B"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t>Sincerely,</w:t>
      </w:r>
    </w:p>
    <w:p w14:paraId="1284DB0E"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22"/>
          <w:szCs w:val="22"/>
          <w14:ligatures w14:val="none"/>
        </w:rPr>
        <w:lastRenderedPageBreak/>
        <w:t xml:space="preserve">Linda Bailey </w:t>
      </w:r>
      <w:hyperlink r:id="rId26" w:history="1">
        <w:r w:rsidRPr="00C944BC">
          <w:rPr>
            <w:rFonts w:ascii="Arial" w:hAnsi="Arial" w:cs="Arial"/>
            <w:color w:val="1155CC"/>
            <w:kern w:val="0"/>
            <w:sz w:val="22"/>
            <w:szCs w:val="22"/>
            <w14:ligatures w14:val="none"/>
          </w:rPr>
          <w:t>lindabailey123@gmail.com</w:t>
        </w:r>
      </w:hyperlink>
      <w:r w:rsidRPr="00C944BC">
        <w:rPr>
          <w:rFonts w:ascii="Arial" w:hAnsi="Arial" w:cs="Arial"/>
          <w:color w:val="000000"/>
          <w:kern w:val="0"/>
          <w:sz w:val="22"/>
          <w:szCs w:val="22"/>
          <w14:ligatures w14:val="none"/>
        </w:rPr>
        <w:t>, 512-809-0171</w:t>
      </w:r>
    </w:p>
    <w:p w14:paraId="0DD45845" w14:textId="77777777" w:rsidR="00C944BC" w:rsidRPr="00C944BC" w:rsidRDefault="00C944BC" w:rsidP="00C944BC">
      <w:pPr>
        <w:spacing w:before="240" w:after="240"/>
        <w:rPr>
          <w:rFonts w:ascii="Helvetica" w:hAnsi="Helvetica" w:cs="Times New Roman"/>
          <w:color w:val="000000"/>
          <w:kern w:val="0"/>
          <w:sz w:val="15"/>
          <w:szCs w:val="15"/>
          <w14:ligatures w14:val="none"/>
        </w:rPr>
      </w:pPr>
    </w:p>
    <w:p w14:paraId="264AFAAD"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8"/>
          <w:szCs w:val="18"/>
          <w14:ligatures w14:val="none"/>
        </w:rPr>
        <w:t>FOOTNOTES</w:t>
      </w:r>
    </w:p>
    <w:p w14:paraId="257F8DC0"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5"/>
          <w:szCs w:val="15"/>
          <w14:ligatures w14:val="none"/>
        </w:rPr>
        <w:t>[1] Texas Department of Licensing and Regulation, Architectural Barriers Project No. TABS2026007469, “Cosmos,” Highpoint, 6801 River Place Boulevard, Austin, Texas. The filing reports approximately 234,000 square feet of renovation or alteration, an estimated construction cost of $610 million, structural reinforcement, and modifications to mechanical, electrical, plumbing and IT systems.</w:t>
      </w:r>
      <w:r w:rsidRPr="00C944BC">
        <w:rPr>
          <w:rFonts w:ascii="Arial" w:hAnsi="Arial" w:cs="Arial"/>
          <w:color w:val="000000"/>
          <w:kern w:val="0"/>
          <w:sz w:val="15"/>
          <w:szCs w:val="15"/>
          <w14:ligatures w14:val="none"/>
        </w:rPr>
        <w:br/>
      </w:r>
      <w:hyperlink r:id="rId27" w:history="1">
        <w:r w:rsidRPr="00C944BC">
          <w:rPr>
            <w:rFonts w:ascii="Arial" w:hAnsi="Arial" w:cs="Arial"/>
            <w:color w:val="1155CC"/>
            <w:kern w:val="0"/>
            <w:sz w:val="15"/>
            <w:szCs w:val="15"/>
            <w14:ligatures w14:val="none"/>
          </w:rPr>
          <w:t>https://www.tdlr.texas.gov/TABS/Search/Project/TABS2026007469</w:t>
        </w:r>
      </w:hyperlink>
    </w:p>
    <w:p w14:paraId="296DBC7E"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5"/>
          <w:szCs w:val="15"/>
          <w14:ligatures w14:val="none"/>
        </w:rPr>
        <w:t xml:space="preserve">[2] Four Points News, “SB Energy names tenant for former 3M site; </w:t>
      </w:r>
      <w:proofErr w:type="spellStart"/>
      <w:r w:rsidRPr="00C944BC">
        <w:rPr>
          <w:rFonts w:ascii="Arial" w:hAnsi="Arial" w:cs="Arial"/>
          <w:color w:val="000000"/>
          <w:kern w:val="0"/>
          <w:sz w:val="15"/>
          <w:szCs w:val="15"/>
          <w14:ligatures w14:val="none"/>
        </w:rPr>
        <w:t>Graphcore</w:t>
      </w:r>
      <w:proofErr w:type="spellEnd"/>
      <w:r w:rsidRPr="00C944BC">
        <w:rPr>
          <w:rFonts w:ascii="Arial" w:hAnsi="Arial" w:cs="Arial"/>
          <w:color w:val="000000"/>
          <w:kern w:val="0"/>
          <w:sz w:val="15"/>
          <w:szCs w:val="15"/>
          <w14:ligatures w14:val="none"/>
        </w:rPr>
        <w:t xml:space="preserve"> locating U.S. engineering headquarters in Four Points,” August 25, 2026. The article reports SB Energy's statement that the site remains planned as an R&amp;D center and is permitted as office and laboratory space.</w:t>
      </w:r>
      <w:r w:rsidRPr="00C944BC">
        <w:rPr>
          <w:rFonts w:ascii="Arial" w:hAnsi="Arial" w:cs="Arial"/>
          <w:color w:val="000000"/>
          <w:kern w:val="0"/>
          <w:sz w:val="15"/>
          <w:szCs w:val="15"/>
          <w14:ligatures w14:val="none"/>
        </w:rPr>
        <w:br/>
      </w:r>
      <w:hyperlink r:id="rId28" w:history="1">
        <w:r w:rsidRPr="00C944BC">
          <w:rPr>
            <w:rFonts w:ascii="Arial" w:hAnsi="Arial" w:cs="Arial"/>
            <w:color w:val="1155CC"/>
            <w:kern w:val="0"/>
            <w:sz w:val="15"/>
            <w:szCs w:val="15"/>
            <w14:ligatures w14:val="none"/>
          </w:rPr>
          <w:t>https://www.fourpointsnews.com/2026/08/25/sb-energy-names-tenant-for-former-3m-site-graphcore-which-is-locating-u-s-engineering-headquarters-in-four-points/</w:t>
        </w:r>
      </w:hyperlink>
    </w:p>
    <w:p w14:paraId="71E4FB06"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5"/>
          <w:szCs w:val="15"/>
          <w14:ligatures w14:val="none"/>
        </w:rPr>
        <w:t xml:space="preserve">[3] U.S. Securities and Exchange Commission, SE Cosmos, LLC, Indenture dated May 7, 2026, relating to $999 million aggregate principal amount of 8.875% Senior Secured Notes due 2031. The agreement uses defined terms including “Data Center Campus,” “Data Center Lease” and “Qualifying Data Center Lease,” and defines the “Project” as the “data center project located in the </w:t>
      </w:r>
      <w:proofErr w:type="gramStart"/>
      <w:r w:rsidRPr="00C944BC">
        <w:rPr>
          <w:rFonts w:ascii="Arial" w:hAnsi="Arial" w:cs="Arial"/>
          <w:color w:val="000000"/>
          <w:kern w:val="0"/>
          <w:sz w:val="15"/>
          <w:szCs w:val="15"/>
          <w14:ligatures w14:val="none"/>
        </w:rPr>
        <w:t>Buildings</w:t>
      </w:r>
      <w:proofErr w:type="gramEnd"/>
      <w:r w:rsidRPr="00C944BC">
        <w:rPr>
          <w:rFonts w:ascii="Arial" w:hAnsi="Arial" w:cs="Arial"/>
          <w:color w:val="000000"/>
          <w:kern w:val="0"/>
          <w:sz w:val="15"/>
          <w:szCs w:val="15"/>
          <w14:ligatures w14:val="none"/>
        </w:rPr>
        <w:t>.”</w:t>
      </w:r>
      <w:r w:rsidRPr="00C944BC">
        <w:rPr>
          <w:rFonts w:ascii="Arial" w:hAnsi="Arial" w:cs="Arial"/>
          <w:color w:val="000000"/>
          <w:kern w:val="0"/>
          <w:sz w:val="15"/>
          <w:szCs w:val="15"/>
          <w14:ligatures w14:val="none"/>
        </w:rPr>
        <w:br/>
      </w:r>
      <w:hyperlink r:id="rId29" w:history="1">
        <w:r w:rsidRPr="00C944BC">
          <w:rPr>
            <w:rFonts w:ascii="Arial" w:hAnsi="Arial" w:cs="Arial"/>
            <w:color w:val="1155CC"/>
            <w:kern w:val="0"/>
            <w:sz w:val="15"/>
            <w:szCs w:val="15"/>
            <w14:ligatures w14:val="none"/>
          </w:rPr>
          <w:t>https://www.sec.gov/Archives/edgar/data/2133037/000162828026059639/exhibit102-indenturexcosmo.htm</w:t>
        </w:r>
      </w:hyperlink>
    </w:p>
    <w:p w14:paraId="787EF96E"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000000"/>
          <w:kern w:val="0"/>
          <w:sz w:val="15"/>
          <w:szCs w:val="15"/>
          <w14:ligatures w14:val="none"/>
        </w:rPr>
        <w:t xml:space="preserve">[4] Cahill Gordon &amp; Reindel LLP, “Cahill Represents Initial Purchasers in SE Cosmos, LLC's $999 Million Notes Offering,” May 7, 2026. Cahill states that </w:t>
      </w:r>
      <w:proofErr w:type="gramStart"/>
      <w:r w:rsidRPr="00C944BC">
        <w:rPr>
          <w:rFonts w:ascii="Arial" w:hAnsi="Arial" w:cs="Arial"/>
          <w:color w:val="000000"/>
          <w:kern w:val="0"/>
          <w:sz w:val="15"/>
          <w:szCs w:val="15"/>
          <w14:ligatures w14:val="none"/>
        </w:rPr>
        <w:t>proceeds</w:t>
      </w:r>
      <w:proofErr w:type="gramEnd"/>
      <w:r w:rsidRPr="00C944BC">
        <w:rPr>
          <w:rFonts w:ascii="Arial" w:hAnsi="Arial" w:cs="Arial"/>
          <w:color w:val="000000"/>
          <w:kern w:val="0"/>
          <w:sz w:val="15"/>
          <w:szCs w:val="15"/>
          <w14:ligatures w14:val="none"/>
        </w:rPr>
        <w:t xml:space="preserve"> from the offering will be used to finance construction of a “high-performance computing data center in Austin, Texas.”</w:t>
      </w:r>
      <w:r w:rsidRPr="00C944BC">
        <w:rPr>
          <w:rFonts w:ascii="Arial" w:hAnsi="Arial" w:cs="Arial"/>
          <w:color w:val="000000"/>
          <w:kern w:val="0"/>
          <w:sz w:val="15"/>
          <w:szCs w:val="15"/>
          <w14:ligatures w14:val="none"/>
        </w:rPr>
        <w:br/>
      </w:r>
      <w:hyperlink r:id="rId30" w:history="1">
        <w:r w:rsidRPr="00C944BC">
          <w:rPr>
            <w:rFonts w:ascii="Arial" w:hAnsi="Arial" w:cs="Arial"/>
            <w:color w:val="1155CC"/>
            <w:kern w:val="0"/>
            <w:sz w:val="15"/>
            <w:szCs w:val="15"/>
            <w14:ligatures w14:val="none"/>
          </w:rPr>
          <w:t>https://www.cahill.com/news/firm-news/2026-05-07-cahill-represents-initial-purchasers-in-se-cosmos-llcs-999-million-notes-offering</w:t>
        </w:r>
      </w:hyperlink>
    </w:p>
    <w:p w14:paraId="3A33F283" w14:textId="77777777" w:rsidR="00C944BC" w:rsidRPr="00C944BC" w:rsidRDefault="00C944BC" w:rsidP="00C944BC">
      <w:pPr>
        <w:spacing w:before="240" w:after="240"/>
        <w:rPr>
          <w:rFonts w:ascii="Helvetica" w:hAnsi="Helvetica" w:cs="Times New Roman"/>
          <w:color w:val="000000"/>
          <w:kern w:val="0"/>
          <w:sz w:val="15"/>
          <w:szCs w:val="15"/>
          <w14:ligatures w14:val="none"/>
        </w:rPr>
      </w:pPr>
      <w:r w:rsidRPr="00C944BC">
        <w:rPr>
          <w:rFonts w:ascii="Arial" w:hAnsi="Arial" w:cs="Arial"/>
          <w:color w:val="1155CC"/>
          <w:kern w:val="0"/>
          <w:sz w:val="15"/>
          <w:szCs w:val="15"/>
          <w14:ligatures w14:val="none"/>
        </w:rPr>
        <w:t xml:space="preserve">[5] </w:t>
      </w:r>
      <w:r w:rsidRPr="00C944BC">
        <w:rPr>
          <w:rFonts w:ascii="Arial" w:hAnsi="Arial" w:cs="Arial"/>
          <w:color w:val="000000"/>
          <w:kern w:val="0"/>
          <w:sz w:val="15"/>
          <w:szCs w:val="15"/>
          <w14:ligatures w14:val="none"/>
        </w:rPr>
        <w:t xml:space="preserve">SE Cosmos LLC is converting a former corporate R&amp;D facility in Austin, Texas into a R&amp;D technology center comprising 50-megawatt (MW) of critical IT load of rack development halls, silicon development bench spaces, and high-density powered lab halls, plus office, storage and related spaces in a five-story facility, including equipment yards and an ancillary parking area on the wider site. SoftBank will use these facilities for R&amp;D to support its AI technology development strategy. Cosmos is indirectly owned by SB Energy. </w:t>
      </w:r>
      <w:proofErr w:type="gramStart"/>
      <w:r w:rsidRPr="00C944BC">
        <w:rPr>
          <w:rFonts w:ascii="Arial" w:hAnsi="Arial" w:cs="Arial"/>
          <w:color w:val="000000"/>
          <w:kern w:val="0"/>
          <w:sz w:val="15"/>
          <w:szCs w:val="15"/>
          <w14:ligatures w14:val="none"/>
        </w:rPr>
        <w:t>…..</w:t>
      </w:r>
      <w:proofErr w:type="gramEnd"/>
      <w:r w:rsidRPr="00C944BC">
        <w:rPr>
          <w:rFonts w:ascii="Arial" w:hAnsi="Arial" w:cs="Arial"/>
          <w:color w:val="0A0A0A"/>
          <w:kern w:val="0"/>
          <w:sz w:val="15"/>
          <w:szCs w:val="15"/>
          <w:shd w:val="clear" w:color="auto" w:fill="FEFEFE"/>
          <w14:ligatures w14:val="none"/>
        </w:rPr>
        <w:t xml:space="preserve">The stable outlook reflects our expectation that the </w:t>
      </w:r>
      <w:r w:rsidRPr="00C944BC">
        <w:rPr>
          <w:rFonts w:ascii="Arial" w:hAnsi="Arial" w:cs="Arial"/>
          <w:b/>
          <w:bCs/>
          <w:color w:val="0A0A0A"/>
          <w:kern w:val="0"/>
          <w:sz w:val="15"/>
          <w:szCs w:val="15"/>
          <w:shd w:val="clear" w:color="auto" w:fill="FEFEFE"/>
          <w14:ligatures w14:val="none"/>
        </w:rPr>
        <w:t>data center w</w:t>
      </w:r>
      <w:r w:rsidRPr="00C944BC">
        <w:rPr>
          <w:rFonts w:ascii="Arial" w:hAnsi="Arial" w:cs="Arial"/>
          <w:color w:val="0A0A0A"/>
          <w:kern w:val="0"/>
          <w:sz w:val="15"/>
          <w:szCs w:val="15"/>
          <w:shd w:val="clear" w:color="auto" w:fill="FEFEFE"/>
          <w14:ligatures w14:val="none"/>
        </w:rPr>
        <w:t xml:space="preserve">ill be completed within budget and become operational on schedule. The project will benefit from steady contractual 3% annual revenue escalators and full operating cost pass-through under the triple-net lease. Additionally, we expect the project's DSCR will remain stable at about 1.15x following the bond </w:t>
      </w:r>
      <w:proofErr w:type="spellStart"/>
      <w:proofErr w:type="gramStart"/>
      <w:r w:rsidRPr="00C944BC">
        <w:rPr>
          <w:rFonts w:ascii="Arial" w:hAnsi="Arial" w:cs="Arial"/>
          <w:color w:val="0A0A0A"/>
          <w:kern w:val="0"/>
          <w:sz w:val="15"/>
          <w:szCs w:val="15"/>
          <w:shd w:val="clear" w:color="auto" w:fill="FEFEFE"/>
          <w14:ligatures w14:val="none"/>
        </w:rPr>
        <w:t>refinancing.The</w:t>
      </w:r>
      <w:proofErr w:type="spellEnd"/>
      <w:proofErr w:type="gramEnd"/>
      <w:r w:rsidRPr="00C944BC">
        <w:rPr>
          <w:rFonts w:ascii="Arial" w:hAnsi="Arial" w:cs="Arial"/>
          <w:color w:val="0A0A0A"/>
          <w:kern w:val="0"/>
          <w:sz w:val="15"/>
          <w:szCs w:val="15"/>
          <w:shd w:val="clear" w:color="auto" w:fill="FEFEFE"/>
          <w14:ligatures w14:val="none"/>
        </w:rPr>
        <w:t xml:space="preserve"> stable outlook reflects our expectation that the data center will be completed within budget and become operational on schedule. The project will benefit from steady contractual 3% annual revenue escalators and full operating cost pass-through under the triple-net lease. Additionally, we expect the project's DSCR will remain stable at about 1.15x following the bond refinancing. Also see</w:t>
      </w:r>
    </w:p>
    <w:p w14:paraId="75EB67AC" w14:textId="77777777" w:rsidR="00C944BC" w:rsidRPr="00C944BC" w:rsidRDefault="00C944BC" w:rsidP="00C944BC">
      <w:pPr>
        <w:spacing w:before="240" w:after="240"/>
        <w:rPr>
          <w:rFonts w:ascii="Helvetica" w:hAnsi="Helvetica" w:cs="Times New Roman"/>
          <w:color w:val="000000"/>
          <w:kern w:val="0"/>
          <w:sz w:val="15"/>
          <w:szCs w:val="15"/>
          <w14:ligatures w14:val="none"/>
        </w:rPr>
      </w:pPr>
      <w:hyperlink r:id="rId31" w:history="1">
        <w:r w:rsidRPr="00C944BC">
          <w:rPr>
            <w:rFonts w:ascii="Arial" w:hAnsi="Arial" w:cs="Arial"/>
            <w:color w:val="1155CC"/>
            <w:kern w:val="0"/>
            <w:sz w:val="15"/>
            <w:szCs w:val="15"/>
            <w14:ligatures w14:val="none"/>
          </w:rPr>
          <w:t>https://www.spglobal.com/ratings/en/regulatory/article/-/view/type/HTML/id/3619002</w:t>
        </w:r>
      </w:hyperlink>
    </w:p>
    <w:p w14:paraId="62F53AC0" w14:textId="77777777" w:rsidR="00C944BC" w:rsidRPr="00C944BC" w:rsidRDefault="00C944BC" w:rsidP="00C944BC">
      <w:pPr>
        <w:rPr>
          <w:rFonts w:ascii="Times New Roman" w:hAnsi="Times New Roman" w:cs="Times New Roman"/>
          <w:kern w:val="0"/>
          <w14:ligatures w14:val="none"/>
        </w:rPr>
      </w:pPr>
    </w:p>
    <w:p w14:paraId="74DBCEF5" w14:textId="77777777" w:rsidR="00C944BC" w:rsidRPr="00C944BC" w:rsidRDefault="00C944BC" w:rsidP="00C944BC">
      <w:pPr>
        <w:rPr>
          <w:rFonts w:ascii="Helvetica" w:hAnsi="Helvetica" w:cs="Times New Roman"/>
          <w:color w:val="000000"/>
          <w:kern w:val="0"/>
          <w:sz w:val="15"/>
          <w:szCs w:val="15"/>
          <w14:ligatures w14:val="none"/>
        </w:rPr>
      </w:pPr>
      <w:r w:rsidRPr="00C944BC">
        <w:rPr>
          <w:rFonts w:ascii="Helvetica" w:hAnsi="Helvetica" w:cs="Times New Roman"/>
          <w:i/>
          <w:iCs/>
          <w:color w:val="000000"/>
          <w:kern w:val="0"/>
          <w:sz w:val="15"/>
          <w:szCs w:val="15"/>
          <w14:ligatures w14:val="none"/>
        </w:rPr>
        <w:t>Linda Bailey</w:t>
      </w:r>
    </w:p>
    <w:p w14:paraId="2F9F8CD5" w14:textId="77777777" w:rsidR="00C944BC" w:rsidRPr="00C944BC" w:rsidRDefault="00C944BC" w:rsidP="00C944BC">
      <w:pPr>
        <w:rPr>
          <w:rFonts w:ascii="Helvetica" w:hAnsi="Helvetica" w:cs="Times New Roman"/>
          <w:color w:val="000000"/>
          <w:kern w:val="0"/>
          <w:sz w:val="15"/>
          <w:szCs w:val="15"/>
          <w14:ligatures w14:val="none"/>
        </w:rPr>
      </w:pPr>
      <w:hyperlink r:id="rId32" w:history="1">
        <w:r w:rsidRPr="00C944BC">
          <w:rPr>
            <w:rFonts w:ascii="Helvetica" w:hAnsi="Helvetica" w:cs="Times New Roman"/>
            <w:color w:val="0000FF"/>
            <w:kern w:val="0"/>
            <w:sz w:val="15"/>
            <w:szCs w:val="15"/>
            <w:u w:val="single"/>
            <w14:ligatures w14:val="none"/>
          </w:rPr>
          <w:t>lindabailey123@gmail.com</w:t>
        </w:r>
      </w:hyperlink>
    </w:p>
    <w:p w14:paraId="7D6FE9B5" w14:textId="77777777" w:rsidR="00C944BC" w:rsidRDefault="00C944BC"/>
    <w:sectPr w:rsidR="00C944BC" w:rsidSect="00401D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56A74"/>
    <w:multiLevelType w:val="multilevel"/>
    <w:tmpl w:val="459E1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AC3D22"/>
    <w:multiLevelType w:val="multilevel"/>
    <w:tmpl w:val="E8580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3A72D28"/>
    <w:multiLevelType w:val="multilevel"/>
    <w:tmpl w:val="4064B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709599E"/>
    <w:multiLevelType w:val="multilevel"/>
    <w:tmpl w:val="99C6C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8647423">
    <w:abstractNumId w:val="3"/>
  </w:num>
  <w:num w:numId="2" w16cid:durableId="1152259049">
    <w:abstractNumId w:val="0"/>
  </w:num>
  <w:num w:numId="3" w16cid:durableId="1123185491">
    <w:abstractNumId w:val="2"/>
  </w:num>
  <w:num w:numId="4" w16cid:durableId="198824062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9"/>
  <w:mirrorMargins/>
  <w:proofState w:spelling="clean" w:grammar="clean"/>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4BC"/>
    <w:rsid w:val="000912E8"/>
    <w:rsid w:val="0009546B"/>
    <w:rsid w:val="001D53CB"/>
    <w:rsid w:val="001E1C16"/>
    <w:rsid w:val="00262AA2"/>
    <w:rsid w:val="003B0A14"/>
    <w:rsid w:val="003F4226"/>
    <w:rsid w:val="00401D66"/>
    <w:rsid w:val="00522C30"/>
    <w:rsid w:val="005748A5"/>
    <w:rsid w:val="0058062A"/>
    <w:rsid w:val="005B38D8"/>
    <w:rsid w:val="0071295C"/>
    <w:rsid w:val="00794C7C"/>
    <w:rsid w:val="00841E7A"/>
    <w:rsid w:val="008C4D89"/>
    <w:rsid w:val="00B57D76"/>
    <w:rsid w:val="00BB7934"/>
    <w:rsid w:val="00C71AB6"/>
    <w:rsid w:val="00C944BC"/>
    <w:rsid w:val="00CB6937"/>
    <w:rsid w:val="00DC7413"/>
    <w:rsid w:val="00E07AC0"/>
    <w:rsid w:val="00E31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BF2451"/>
  <w15:chartTrackingRefBased/>
  <w15:docId w15:val="{BA60CE06-60A3-1B42-A22A-E7E7AA9AE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44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44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44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44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44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44B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44B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44B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44B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4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44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44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44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44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44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44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44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44BC"/>
    <w:rPr>
      <w:rFonts w:eastAsiaTheme="majorEastAsia" w:cstheme="majorBidi"/>
      <w:color w:val="272727" w:themeColor="text1" w:themeTint="D8"/>
    </w:rPr>
  </w:style>
  <w:style w:type="paragraph" w:styleId="Title">
    <w:name w:val="Title"/>
    <w:basedOn w:val="Normal"/>
    <w:next w:val="Normal"/>
    <w:link w:val="TitleChar"/>
    <w:uiPriority w:val="10"/>
    <w:qFormat/>
    <w:rsid w:val="00C944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44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44B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44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44B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944BC"/>
    <w:rPr>
      <w:i/>
      <w:iCs/>
      <w:color w:val="404040" w:themeColor="text1" w:themeTint="BF"/>
    </w:rPr>
  </w:style>
  <w:style w:type="paragraph" w:styleId="ListParagraph">
    <w:name w:val="List Paragraph"/>
    <w:basedOn w:val="Normal"/>
    <w:uiPriority w:val="34"/>
    <w:qFormat/>
    <w:rsid w:val="00C944BC"/>
    <w:pPr>
      <w:ind w:left="720"/>
      <w:contextualSpacing/>
    </w:pPr>
  </w:style>
  <w:style w:type="character" w:styleId="IntenseEmphasis">
    <w:name w:val="Intense Emphasis"/>
    <w:basedOn w:val="DefaultParagraphFont"/>
    <w:uiPriority w:val="21"/>
    <w:qFormat/>
    <w:rsid w:val="00C944BC"/>
    <w:rPr>
      <w:i/>
      <w:iCs/>
      <w:color w:val="0F4761" w:themeColor="accent1" w:themeShade="BF"/>
    </w:rPr>
  </w:style>
  <w:style w:type="paragraph" w:styleId="IntenseQuote">
    <w:name w:val="Intense Quote"/>
    <w:basedOn w:val="Normal"/>
    <w:next w:val="Normal"/>
    <w:link w:val="IntenseQuoteChar"/>
    <w:uiPriority w:val="30"/>
    <w:qFormat/>
    <w:rsid w:val="00C944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44BC"/>
    <w:rPr>
      <w:i/>
      <w:iCs/>
      <w:color w:val="0F4761" w:themeColor="accent1" w:themeShade="BF"/>
    </w:rPr>
  </w:style>
  <w:style w:type="character" w:styleId="IntenseReference">
    <w:name w:val="Intense Reference"/>
    <w:basedOn w:val="DefaultParagraphFont"/>
    <w:uiPriority w:val="32"/>
    <w:qFormat/>
    <w:rsid w:val="00C944BC"/>
    <w:rPr>
      <w:b/>
      <w:bCs/>
      <w:smallCaps/>
      <w:color w:val="0F4761" w:themeColor="accent1" w:themeShade="BF"/>
      <w:spacing w:val="5"/>
    </w:rPr>
  </w:style>
  <w:style w:type="paragraph" w:styleId="NormalWeb">
    <w:name w:val="Normal (Web)"/>
    <w:basedOn w:val="Normal"/>
    <w:uiPriority w:val="99"/>
    <w:semiHidden/>
    <w:unhideWhenUsed/>
    <w:rsid w:val="00C944BC"/>
    <w:pPr>
      <w:spacing w:before="100" w:beforeAutospacing="1" w:after="100" w:afterAutospacing="1"/>
    </w:pPr>
    <w:rPr>
      <w:rFonts w:ascii="Times New Roman" w:hAnsi="Times New Roman" w:cs="Times New Roman"/>
      <w:kern w:val="0"/>
      <w14:ligatures w14:val="none"/>
    </w:rPr>
  </w:style>
  <w:style w:type="character" w:customStyle="1" w:styleId="apple-converted-space">
    <w:name w:val="apple-converted-space"/>
    <w:basedOn w:val="DefaultParagraphFont"/>
    <w:rsid w:val="00C944BC"/>
  </w:style>
  <w:style w:type="character" w:styleId="Hyperlink">
    <w:name w:val="Hyperlink"/>
    <w:basedOn w:val="DefaultParagraphFont"/>
    <w:uiPriority w:val="99"/>
    <w:semiHidden/>
    <w:unhideWhenUsed/>
    <w:rsid w:val="00C944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pglobal.com/ratings/en/regulatory/article/-/view/type/HTML/id/3619002" TargetMode="External"/><Relationship Id="rId18" Type="http://schemas.openxmlformats.org/officeDocument/2006/relationships/hyperlink" Target="https://www.sec.gov/Archives/edgar/data/2133037/000162828026059639/exhibit102-indenturexcosmo.htm" TargetMode="External"/><Relationship Id="rId26" Type="http://schemas.openxmlformats.org/officeDocument/2006/relationships/hyperlink" Target="mailto:lindabailey123@gmail.com" TargetMode="External"/><Relationship Id="rId3" Type="http://schemas.openxmlformats.org/officeDocument/2006/relationships/settings" Target="settings.xml"/><Relationship Id="rId21" Type="http://schemas.openxmlformats.org/officeDocument/2006/relationships/hyperlink" Target="https://statutes.capitol.texas.gov/Docs/TX/htm/TX.151.htm" TargetMode="External"/><Relationship Id="rId34" Type="http://schemas.openxmlformats.org/officeDocument/2006/relationships/theme" Target="theme/theme1.xml"/><Relationship Id="rId7" Type="http://schemas.openxmlformats.org/officeDocument/2006/relationships/hyperlink" Target="https://www.sec.gov/Archives/edgar/data/2133037/000162828026059639/exhibit102-indenturexcosmo.htm" TargetMode="External"/><Relationship Id="rId12" Type="http://schemas.openxmlformats.org/officeDocument/2006/relationships/hyperlink" Target="https://www.ercot.com/services/comm/mkt_notices/M-A080326-01" TargetMode="External"/><Relationship Id="rId17" Type="http://schemas.openxmlformats.org/officeDocument/2006/relationships/hyperlink" Target="https://www.graphcore.ai/contact" TargetMode="Externa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fourpointsnews.com/2026/08/25/sb-energy-names-tenant-for-former-3m-site-graphcore-which-is-locating-u-s-engineering-headquarters-in-four-points/" TargetMode="External"/><Relationship Id="rId20" Type="http://schemas.openxmlformats.org/officeDocument/2006/relationships/hyperlink" Target="https://www.cahill.com/news/firm-news/2026-05-07-cahill-represents-initial-purchasers-in-se-cosmos-llcs-999-million-notes-offering" TargetMode="External"/><Relationship Id="rId29" Type="http://schemas.openxmlformats.org/officeDocument/2006/relationships/hyperlink" Target="https://www.sec.gov/Archives/edgar/data/2133037/000162828026059639/exhibit102-indenturexcosmo.htm" TargetMode="External"/><Relationship Id="rId1" Type="http://schemas.openxmlformats.org/officeDocument/2006/relationships/numbering" Target="numbering.xml"/><Relationship Id="rId6" Type="http://schemas.openxmlformats.org/officeDocument/2006/relationships/hyperlink" Target="mailto:lindabailey123@gmail.com" TargetMode="External"/><Relationship Id="rId11" Type="http://schemas.openxmlformats.org/officeDocument/2006/relationships/hyperlink" Target="https://www.ercot.com/news/release/06182026-puct-approves-ercots" TargetMode="External"/><Relationship Id="rId24" Type="http://schemas.openxmlformats.org/officeDocument/2006/relationships/hyperlink" Target="mailto:lindabailey123@gmail.com" TargetMode="External"/><Relationship Id="rId32" Type="http://schemas.openxmlformats.org/officeDocument/2006/relationships/hyperlink" Target="mailto:lindabailey123@gmail.com" TargetMode="External"/><Relationship Id="rId5" Type="http://schemas.openxmlformats.org/officeDocument/2006/relationships/image" Target="media/image1.png"/><Relationship Id="rId15" Type="http://schemas.openxmlformats.org/officeDocument/2006/relationships/hyperlink" Target="mailto:lindabailey123@gmail.com" TargetMode="External"/><Relationship Id="rId23" Type="http://schemas.openxmlformats.org/officeDocument/2006/relationships/hyperlink" Target="https://www.spglobal.com/ratings/en/regulatory/article/-/view/type/HTML/id/3619002" TargetMode="External"/><Relationship Id="rId28" Type="http://schemas.openxmlformats.org/officeDocument/2006/relationships/hyperlink" Target="https://www.fourpointsnews.com/2026/08/25/sb-energy-names-tenant-for-former-3m-site-graphcore-which-is-locating-u-s-engineering-headquarters-in-four-points/" TargetMode="External"/><Relationship Id="rId10" Type="http://schemas.openxmlformats.org/officeDocument/2006/relationships/hyperlink" Target="https://www.ercot.com/services/rq/large-load-integration" TargetMode="External"/><Relationship Id="rId19" Type="http://schemas.openxmlformats.org/officeDocument/2006/relationships/hyperlink" Target="https://www.tdlr.texas.gov/TABS/Search/Project/TABS2026007469" TargetMode="External"/><Relationship Id="rId31" Type="http://schemas.openxmlformats.org/officeDocument/2006/relationships/hyperlink" Target="https://www.spglobal.com/ratings/en/regulatory/article/-/view/type/HTML/id/3619002" TargetMode="External"/><Relationship Id="rId4" Type="http://schemas.openxmlformats.org/officeDocument/2006/relationships/webSettings" Target="webSettings.xml"/><Relationship Id="rId9" Type="http://schemas.openxmlformats.org/officeDocument/2006/relationships/hyperlink" Target="https://www.tdlr.texas.gov/TABS/Search/Project/TABS2026007469" TargetMode="External"/><Relationship Id="rId14" Type="http://schemas.openxmlformats.org/officeDocument/2006/relationships/image" Target="media/image2.png"/><Relationship Id="rId22" Type="http://schemas.openxmlformats.org/officeDocument/2006/relationships/hyperlink" Target="https://comptroller.texas.gov/taxes/data-centers/" TargetMode="External"/><Relationship Id="rId27" Type="http://schemas.openxmlformats.org/officeDocument/2006/relationships/hyperlink" Target="https://www.tdlr.texas.gov/TABS/Search/Project/TABS2026007469" TargetMode="External"/><Relationship Id="rId30" Type="http://schemas.openxmlformats.org/officeDocument/2006/relationships/hyperlink" Target="https://www.cahill.com/news/firm-news/2026-05-07-cahill-represents-initial-purchasers-in-se-cosmos-llcs-999-million-notes-offering" TargetMode="External"/><Relationship Id="rId8" Type="http://schemas.openxmlformats.org/officeDocument/2006/relationships/hyperlink" Target="https://www.fitchratings.com/research/infrastructure-project-finance/fitch-rates-se-cosmos-llc-senior-secured-notes-bb-outlook-stable-28-05-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4617</Words>
  <Characters>27610</Characters>
  <Application>Microsoft Office Word</Application>
  <DocSecurity>0</DocSecurity>
  <Lines>890</Lines>
  <Paragraphs>251</Paragraphs>
  <ScaleCrop>false</ScaleCrop>
  <Company/>
  <LinksUpToDate>false</LinksUpToDate>
  <CharactersWithSpaces>31976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Huber</dc:creator>
  <cp:keywords/>
  <dc:description/>
  <cp:lastModifiedBy>Edwin Huber</cp:lastModifiedBy>
  <cp:revision>1</cp:revision>
  <dcterms:created xsi:type="dcterms:W3CDTF">2026-09-24T19:56:00Z</dcterms:created>
  <dcterms:modified xsi:type="dcterms:W3CDTF">2026-09-24T20:04:00Z</dcterms:modified>
</cp:coreProperties>
</file>